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96D6F8" w14:textId="6BBF5350" w:rsidR="00544DD6" w:rsidRPr="002409B9" w:rsidRDefault="00544DD6" w:rsidP="0022569B">
      <w:pPr>
        <w:pStyle w:val="Default"/>
        <w:spacing w:after="120" w:line="276" w:lineRule="auto"/>
        <w:jc w:val="right"/>
        <w:rPr>
          <w:rFonts w:asciiTheme="minorHAnsi" w:hAnsiTheme="minorHAnsi"/>
          <w:color w:val="17365D" w:themeColor="text2" w:themeShade="BF"/>
        </w:rPr>
      </w:pPr>
      <w:r w:rsidRPr="002409B9">
        <w:rPr>
          <w:rFonts w:asciiTheme="minorHAnsi" w:hAnsiTheme="minorHAnsi"/>
          <w:color w:val="17365D" w:themeColor="text2" w:themeShade="BF"/>
        </w:rPr>
        <w:fldChar w:fldCharType="begin"/>
      </w:r>
      <w:r w:rsidRPr="002409B9">
        <w:rPr>
          <w:rFonts w:asciiTheme="minorHAnsi" w:hAnsiTheme="minorHAnsi"/>
          <w:color w:val="17365D" w:themeColor="text2" w:themeShade="BF"/>
        </w:rPr>
        <w:instrText xml:space="preserve"> DATE   \* MERGEFORMAT </w:instrText>
      </w:r>
      <w:r w:rsidRPr="002409B9">
        <w:rPr>
          <w:rFonts w:asciiTheme="minorHAnsi" w:hAnsiTheme="minorHAnsi"/>
          <w:color w:val="17365D" w:themeColor="text2" w:themeShade="BF"/>
        </w:rPr>
        <w:fldChar w:fldCharType="separate"/>
      </w:r>
      <w:r w:rsidR="005E4A8A">
        <w:rPr>
          <w:rFonts w:asciiTheme="minorHAnsi" w:hAnsiTheme="minorHAnsi"/>
          <w:noProof/>
          <w:color w:val="17365D" w:themeColor="text2" w:themeShade="BF"/>
        </w:rPr>
        <w:t>18/06/2021</w:t>
      </w:r>
      <w:r w:rsidRPr="002409B9">
        <w:rPr>
          <w:rFonts w:asciiTheme="minorHAnsi" w:hAnsiTheme="minorHAnsi"/>
          <w:color w:val="17365D" w:themeColor="text2" w:themeShade="BF"/>
        </w:rPr>
        <w:fldChar w:fldCharType="end"/>
      </w:r>
    </w:p>
    <w:p w14:paraId="39C1C78E" w14:textId="77777777" w:rsidR="001B7D3F" w:rsidRPr="002409B9" w:rsidRDefault="001B7D3F" w:rsidP="0022569B">
      <w:pPr>
        <w:pStyle w:val="Default"/>
        <w:shd w:val="clear" w:color="auto" w:fill="B8CCE4" w:themeFill="accent1" w:themeFillTint="66"/>
        <w:spacing w:after="120" w:line="276" w:lineRule="auto"/>
        <w:jc w:val="both"/>
        <w:rPr>
          <w:rFonts w:asciiTheme="minorHAnsi" w:hAnsiTheme="minorHAnsi"/>
          <w:b/>
          <w:bCs/>
          <w:color w:val="17365D" w:themeColor="text2" w:themeShade="BF"/>
        </w:rPr>
      </w:pPr>
      <w:r w:rsidRPr="002409B9">
        <w:rPr>
          <w:rFonts w:asciiTheme="minorHAnsi" w:hAnsiTheme="minorHAnsi"/>
          <w:b/>
          <w:bCs/>
          <w:color w:val="17365D" w:themeColor="text2" w:themeShade="BF"/>
        </w:rPr>
        <w:t xml:space="preserve">DE: Organización Nacional de Trasplantes </w:t>
      </w:r>
    </w:p>
    <w:p w14:paraId="66154A53" w14:textId="2E016085" w:rsidR="001B7D3F" w:rsidRPr="002008C2" w:rsidRDefault="001B7D3F" w:rsidP="0022569B">
      <w:pPr>
        <w:pStyle w:val="Default"/>
        <w:shd w:val="clear" w:color="auto" w:fill="B8CCE4" w:themeFill="accent1" w:themeFillTint="66"/>
        <w:spacing w:after="120" w:line="276" w:lineRule="auto"/>
        <w:jc w:val="both"/>
        <w:rPr>
          <w:rFonts w:asciiTheme="minorHAnsi" w:hAnsiTheme="minorHAnsi"/>
          <w:b/>
          <w:bCs/>
          <w:color w:val="244061" w:themeColor="accent1" w:themeShade="80"/>
        </w:rPr>
      </w:pPr>
      <w:r w:rsidRPr="002409B9">
        <w:rPr>
          <w:rFonts w:asciiTheme="minorHAnsi" w:hAnsiTheme="minorHAnsi"/>
          <w:b/>
          <w:bCs/>
          <w:color w:val="17365D" w:themeColor="text2" w:themeShade="BF"/>
        </w:rPr>
        <w:t>A: Coordinadores Autonómicos de Trasplante</w:t>
      </w:r>
      <w:r w:rsidR="00722B98" w:rsidRPr="002409B9">
        <w:rPr>
          <w:rFonts w:asciiTheme="minorHAnsi" w:hAnsiTheme="minorHAnsi"/>
          <w:b/>
          <w:bCs/>
          <w:color w:val="17365D" w:themeColor="text2" w:themeShade="BF"/>
        </w:rPr>
        <w:t xml:space="preserve">; </w:t>
      </w:r>
      <w:r w:rsidRPr="002409B9">
        <w:rPr>
          <w:rFonts w:asciiTheme="minorHAnsi" w:hAnsiTheme="minorHAnsi"/>
          <w:b/>
          <w:bCs/>
          <w:color w:val="17365D" w:themeColor="text2" w:themeShade="BF"/>
        </w:rPr>
        <w:t xml:space="preserve">Coordinaciones </w:t>
      </w:r>
      <w:r w:rsidR="006F625B" w:rsidRPr="002409B9">
        <w:rPr>
          <w:rFonts w:asciiTheme="minorHAnsi" w:hAnsiTheme="minorHAnsi"/>
          <w:b/>
          <w:bCs/>
          <w:color w:val="17365D" w:themeColor="text2" w:themeShade="BF"/>
        </w:rPr>
        <w:t>Hospitalarias</w:t>
      </w:r>
      <w:r w:rsidRPr="002409B9">
        <w:rPr>
          <w:rFonts w:asciiTheme="minorHAnsi" w:hAnsiTheme="minorHAnsi"/>
          <w:b/>
          <w:bCs/>
          <w:color w:val="17365D" w:themeColor="text2" w:themeShade="BF"/>
        </w:rPr>
        <w:t xml:space="preserve"> de trasplante</w:t>
      </w:r>
      <w:r w:rsidR="00722B98" w:rsidRPr="002409B9">
        <w:rPr>
          <w:rFonts w:asciiTheme="minorHAnsi" w:hAnsiTheme="minorHAnsi"/>
          <w:b/>
          <w:bCs/>
          <w:color w:val="17365D" w:themeColor="text2" w:themeShade="BF"/>
        </w:rPr>
        <w:t>;</w:t>
      </w:r>
      <w:r w:rsidRPr="002409B9">
        <w:rPr>
          <w:rFonts w:asciiTheme="minorHAnsi" w:hAnsiTheme="minorHAnsi"/>
          <w:b/>
          <w:bCs/>
          <w:color w:val="17365D" w:themeColor="text2" w:themeShade="BF"/>
        </w:rPr>
        <w:t xml:space="preserve"> </w:t>
      </w:r>
      <w:r w:rsidR="007B7034" w:rsidRPr="002409B9">
        <w:rPr>
          <w:rFonts w:asciiTheme="minorHAnsi" w:hAnsiTheme="minorHAnsi"/>
          <w:b/>
          <w:bCs/>
          <w:color w:val="17365D" w:themeColor="text2" w:themeShade="BF"/>
        </w:rPr>
        <w:t xml:space="preserve">Equipos </w:t>
      </w:r>
      <w:r w:rsidR="007B7034" w:rsidRPr="002008C2">
        <w:rPr>
          <w:rFonts w:asciiTheme="minorHAnsi" w:hAnsiTheme="minorHAnsi"/>
          <w:b/>
          <w:bCs/>
          <w:color w:val="244061" w:themeColor="accent1" w:themeShade="80"/>
        </w:rPr>
        <w:t xml:space="preserve">de Trasplante; </w:t>
      </w:r>
      <w:r w:rsidR="006F625B" w:rsidRPr="002008C2">
        <w:rPr>
          <w:rFonts w:asciiTheme="minorHAnsi" w:hAnsiTheme="minorHAnsi"/>
          <w:b/>
          <w:bCs/>
          <w:color w:val="244061" w:themeColor="accent1" w:themeShade="80"/>
        </w:rPr>
        <w:t>Equipos de TPH;</w:t>
      </w:r>
      <w:bookmarkStart w:id="0" w:name="_GoBack"/>
      <w:bookmarkEnd w:id="0"/>
      <w:r w:rsidR="000C7E4E" w:rsidRPr="002008C2">
        <w:rPr>
          <w:rFonts w:asciiTheme="minorHAnsi" w:hAnsiTheme="minorHAnsi"/>
          <w:b/>
          <w:bCs/>
          <w:color w:val="244061" w:themeColor="accent1" w:themeShade="80"/>
        </w:rPr>
        <w:t xml:space="preserve"> Establecimientos de T</w:t>
      </w:r>
      <w:r w:rsidR="00722B98" w:rsidRPr="002008C2">
        <w:rPr>
          <w:rFonts w:asciiTheme="minorHAnsi" w:hAnsiTheme="minorHAnsi"/>
          <w:b/>
          <w:bCs/>
          <w:color w:val="244061" w:themeColor="accent1" w:themeShade="80"/>
        </w:rPr>
        <w:t xml:space="preserve">ejidos; </w:t>
      </w:r>
      <w:r w:rsidR="00396AD7" w:rsidRPr="002008C2">
        <w:rPr>
          <w:rFonts w:asciiTheme="minorHAnsi" w:hAnsiTheme="minorHAnsi"/>
          <w:b/>
          <w:bCs/>
          <w:color w:val="244061" w:themeColor="accent1" w:themeShade="80"/>
        </w:rPr>
        <w:t>Subcomisión Nacional de Seguridad</w:t>
      </w:r>
      <w:r w:rsidR="00FD4616" w:rsidRPr="002008C2">
        <w:rPr>
          <w:rFonts w:asciiTheme="minorHAnsi" w:hAnsiTheme="minorHAnsi"/>
          <w:b/>
          <w:bCs/>
          <w:color w:val="244061" w:themeColor="accent1" w:themeShade="80"/>
        </w:rPr>
        <w:t xml:space="preserve"> de Órganos, Tejidos y Células</w:t>
      </w:r>
      <w:r w:rsidR="00396AD7" w:rsidRPr="002008C2">
        <w:rPr>
          <w:rFonts w:asciiTheme="minorHAnsi" w:hAnsiTheme="minorHAnsi"/>
          <w:b/>
          <w:bCs/>
          <w:color w:val="244061" w:themeColor="accent1" w:themeShade="80"/>
        </w:rPr>
        <w:t xml:space="preserve">; </w:t>
      </w:r>
      <w:r w:rsidR="00722B98" w:rsidRPr="002008C2">
        <w:rPr>
          <w:rFonts w:asciiTheme="minorHAnsi" w:hAnsiTheme="minorHAnsi"/>
          <w:b/>
          <w:bCs/>
          <w:color w:val="244061" w:themeColor="accent1" w:themeShade="80"/>
        </w:rPr>
        <w:t>CCAES</w:t>
      </w:r>
    </w:p>
    <w:p w14:paraId="4B09E47E" w14:textId="029F4587" w:rsidR="001B7D3F" w:rsidRPr="002409B9" w:rsidRDefault="001B7D3F" w:rsidP="0022569B">
      <w:pPr>
        <w:pStyle w:val="Default"/>
        <w:shd w:val="clear" w:color="auto" w:fill="B8CCE4" w:themeFill="accent1" w:themeFillTint="66"/>
        <w:spacing w:after="120" w:line="276" w:lineRule="auto"/>
        <w:jc w:val="both"/>
        <w:rPr>
          <w:rFonts w:asciiTheme="minorHAnsi" w:hAnsiTheme="minorHAnsi"/>
          <w:b/>
          <w:bCs/>
          <w:color w:val="17365D" w:themeColor="text2" w:themeShade="BF"/>
        </w:rPr>
      </w:pPr>
      <w:r w:rsidRPr="002409B9">
        <w:rPr>
          <w:rFonts w:asciiTheme="minorHAnsi" w:hAnsiTheme="minorHAnsi"/>
          <w:b/>
          <w:bCs/>
          <w:color w:val="17365D" w:themeColor="text2" w:themeShade="BF"/>
        </w:rPr>
        <w:t xml:space="preserve">ASUNTO: </w:t>
      </w:r>
      <w:r w:rsidR="00646519" w:rsidRPr="002409B9">
        <w:rPr>
          <w:rFonts w:asciiTheme="minorHAnsi" w:hAnsiTheme="minorHAnsi"/>
          <w:b/>
          <w:bCs/>
          <w:color w:val="17365D" w:themeColor="text2" w:themeShade="BF"/>
        </w:rPr>
        <w:t xml:space="preserve">INFECCIÓN ASOCIADA </w:t>
      </w:r>
      <w:r w:rsidR="00AD62BF">
        <w:rPr>
          <w:rFonts w:asciiTheme="minorHAnsi" w:hAnsiTheme="minorHAnsi"/>
          <w:b/>
          <w:bCs/>
          <w:color w:val="17365D" w:themeColor="text2" w:themeShade="BF"/>
        </w:rPr>
        <w:t>AL VIRUS DEL NILO OCCIDENTAL</w:t>
      </w:r>
    </w:p>
    <w:p w14:paraId="0190742C" w14:textId="1EC547FB" w:rsidR="001B7D3F" w:rsidRPr="00FC38C4" w:rsidRDefault="001B7D3F" w:rsidP="0022569B">
      <w:pPr>
        <w:pStyle w:val="Default"/>
        <w:shd w:val="clear" w:color="auto" w:fill="B8CCE4" w:themeFill="accent1" w:themeFillTint="66"/>
        <w:spacing w:after="120" w:line="276" w:lineRule="auto"/>
        <w:jc w:val="both"/>
        <w:rPr>
          <w:rFonts w:asciiTheme="minorHAnsi" w:hAnsiTheme="minorHAnsi"/>
          <w:b/>
          <w:bCs/>
          <w:color w:val="FF0000"/>
        </w:rPr>
      </w:pPr>
      <w:r w:rsidRPr="00FC38C4">
        <w:rPr>
          <w:rFonts w:asciiTheme="minorHAnsi" w:hAnsiTheme="minorHAnsi"/>
          <w:b/>
          <w:bCs/>
          <w:color w:val="17365D" w:themeColor="text2" w:themeShade="BF"/>
        </w:rPr>
        <w:t>REFERENCIA: BV-</w:t>
      </w:r>
      <w:r w:rsidR="003E35DD" w:rsidRPr="00FC38C4">
        <w:rPr>
          <w:rFonts w:asciiTheme="minorHAnsi" w:hAnsiTheme="minorHAnsi"/>
          <w:b/>
          <w:bCs/>
          <w:color w:val="17365D" w:themeColor="text2" w:themeShade="BF"/>
        </w:rPr>
        <w:t>ES</w:t>
      </w:r>
      <w:r w:rsidRPr="00FC38C4">
        <w:rPr>
          <w:rFonts w:asciiTheme="minorHAnsi" w:hAnsiTheme="minorHAnsi"/>
          <w:b/>
          <w:bCs/>
          <w:color w:val="17365D" w:themeColor="text2" w:themeShade="BF"/>
        </w:rPr>
        <w:t>-20</w:t>
      </w:r>
      <w:r w:rsidR="00E12247" w:rsidRPr="00FC38C4">
        <w:rPr>
          <w:rFonts w:asciiTheme="minorHAnsi" w:hAnsiTheme="minorHAnsi"/>
          <w:b/>
          <w:bCs/>
          <w:color w:val="17365D" w:themeColor="text2" w:themeShade="BF"/>
        </w:rPr>
        <w:t>2</w:t>
      </w:r>
      <w:r w:rsidR="00FD4932" w:rsidRPr="00FC38C4">
        <w:rPr>
          <w:rFonts w:asciiTheme="minorHAnsi" w:hAnsiTheme="minorHAnsi"/>
          <w:b/>
          <w:bCs/>
          <w:color w:val="17365D" w:themeColor="text2" w:themeShade="BF"/>
        </w:rPr>
        <w:t>1061</w:t>
      </w:r>
      <w:r w:rsidR="00424460">
        <w:rPr>
          <w:rFonts w:asciiTheme="minorHAnsi" w:hAnsiTheme="minorHAnsi"/>
          <w:b/>
          <w:bCs/>
          <w:color w:val="17365D" w:themeColor="text2" w:themeShade="BF"/>
        </w:rPr>
        <w:t>8</w:t>
      </w:r>
      <w:r w:rsidR="00CB00CC" w:rsidRPr="00FC38C4">
        <w:rPr>
          <w:rFonts w:asciiTheme="minorHAnsi" w:hAnsiTheme="minorHAnsi"/>
          <w:b/>
          <w:bCs/>
          <w:color w:val="17365D" w:themeColor="text2" w:themeShade="BF"/>
        </w:rPr>
        <w:t>-</w:t>
      </w:r>
      <w:r w:rsidR="00FD4932" w:rsidRPr="00FC38C4">
        <w:rPr>
          <w:rFonts w:asciiTheme="minorHAnsi" w:hAnsiTheme="minorHAnsi"/>
          <w:b/>
          <w:bCs/>
          <w:color w:val="17365D" w:themeColor="text2" w:themeShade="BF"/>
        </w:rPr>
        <w:t xml:space="preserve">1 </w:t>
      </w:r>
    </w:p>
    <w:p w14:paraId="581B9020" w14:textId="15465216" w:rsidR="00FD4932" w:rsidRPr="00FC38C4" w:rsidRDefault="00FD4932" w:rsidP="00FC38C4">
      <w:pPr>
        <w:pStyle w:val="Default"/>
        <w:spacing w:line="360" w:lineRule="auto"/>
        <w:jc w:val="both"/>
        <w:rPr>
          <w:rFonts w:asciiTheme="minorHAnsi" w:hAnsiTheme="minorHAnsi"/>
          <w:color w:val="17365D" w:themeColor="text2" w:themeShade="BF"/>
        </w:rPr>
      </w:pPr>
      <w:r w:rsidRPr="00FC38C4">
        <w:rPr>
          <w:rFonts w:asciiTheme="minorHAnsi" w:hAnsiTheme="minorHAnsi"/>
          <w:color w:val="17365D" w:themeColor="text2" w:themeShade="BF"/>
        </w:rPr>
        <w:t>El 16/6/202</w:t>
      </w:r>
      <w:r w:rsidR="005E6643">
        <w:rPr>
          <w:rFonts w:asciiTheme="minorHAnsi" w:hAnsiTheme="minorHAnsi"/>
          <w:color w:val="17365D" w:themeColor="text2" w:themeShade="BF"/>
        </w:rPr>
        <w:t>1</w:t>
      </w:r>
      <w:r w:rsidRPr="00FC38C4">
        <w:rPr>
          <w:rFonts w:asciiTheme="minorHAnsi" w:hAnsiTheme="minorHAnsi"/>
          <w:color w:val="17365D" w:themeColor="text2" w:themeShade="BF"/>
        </w:rPr>
        <w:t>, desde la  Dirección General de Salud Pública y Ordenación Farmacéutica</w:t>
      </w:r>
    </w:p>
    <w:p w14:paraId="4E997410" w14:textId="38F10120" w:rsidR="00FD4932" w:rsidRPr="00BA42BE" w:rsidRDefault="00FD4932" w:rsidP="00FC38C4">
      <w:pPr>
        <w:pStyle w:val="Default"/>
        <w:spacing w:line="360" w:lineRule="auto"/>
        <w:jc w:val="both"/>
        <w:rPr>
          <w:rFonts w:asciiTheme="minorHAnsi" w:hAnsiTheme="minorHAnsi"/>
          <w:color w:val="17365D" w:themeColor="text2" w:themeShade="BF"/>
        </w:rPr>
      </w:pPr>
      <w:r w:rsidRPr="00FC38C4">
        <w:rPr>
          <w:rFonts w:asciiTheme="minorHAnsi" w:hAnsiTheme="minorHAnsi"/>
          <w:color w:val="17365D" w:themeColor="text2" w:themeShade="BF"/>
        </w:rPr>
        <w:t>Consejería de Salud y Familias de la Junta de Andalucía se informa de</w:t>
      </w:r>
      <w:r w:rsidR="00FC38C4" w:rsidRPr="00FC38C4">
        <w:rPr>
          <w:rFonts w:asciiTheme="minorHAnsi" w:hAnsiTheme="minorHAnsi"/>
          <w:color w:val="17365D" w:themeColor="text2" w:themeShade="BF"/>
        </w:rPr>
        <w:t xml:space="preserve"> un</w:t>
      </w:r>
      <w:r w:rsidRPr="00FC38C4">
        <w:rPr>
          <w:rFonts w:asciiTheme="minorHAnsi" w:hAnsiTheme="minorHAnsi"/>
          <w:color w:val="17365D" w:themeColor="text2" w:themeShade="BF"/>
        </w:rPr>
        <w:t xml:space="preserve"> </w:t>
      </w:r>
      <w:r w:rsidR="00FC38C4" w:rsidRPr="00FC38C4">
        <w:rPr>
          <w:rFonts w:asciiTheme="minorHAnsi" w:hAnsiTheme="minorHAnsi"/>
          <w:color w:val="17365D" w:themeColor="text2" w:themeShade="BF"/>
        </w:rPr>
        <w:t xml:space="preserve">caso confirmado de </w:t>
      </w:r>
      <w:r w:rsidRPr="00FC38C4">
        <w:rPr>
          <w:rFonts w:asciiTheme="minorHAnsi" w:hAnsiTheme="minorHAnsi"/>
          <w:color w:val="17365D" w:themeColor="text2" w:themeShade="BF"/>
        </w:rPr>
        <w:t>Virus del Nilo Occidental (VNO) en la provincia de Sevilla.</w:t>
      </w:r>
    </w:p>
    <w:p w14:paraId="70066AB1" w14:textId="5654EF27" w:rsidR="00FD4932" w:rsidRDefault="00FD4932" w:rsidP="00FC38C4">
      <w:pPr>
        <w:pStyle w:val="Default"/>
        <w:spacing w:line="360" w:lineRule="auto"/>
        <w:jc w:val="both"/>
        <w:rPr>
          <w:rFonts w:asciiTheme="minorHAnsi" w:hAnsiTheme="minorHAnsi"/>
          <w:color w:val="17365D" w:themeColor="text2" w:themeShade="BF"/>
        </w:rPr>
      </w:pPr>
      <w:r w:rsidRPr="00BA42BE">
        <w:rPr>
          <w:rFonts w:asciiTheme="minorHAnsi" w:hAnsiTheme="minorHAnsi"/>
          <w:color w:val="17365D" w:themeColor="text2" w:themeShade="BF"/>
        </w:rPr>
        <w:t xml:space="preserve">Este Documento ha sido elaborado por </w:t>
      </w:r>
      <w:r>
        <w:rPr>
          <w:rFonts w:asciiTheme="minorHAnsi" w:hAnsiTheme="minorHAnsi"/>
          <w:color w:val="17365D" w:themeColor="text2" w:themeShade="BF"/>
        </w:rPr>
        <w:t xml:space="preserve">la Organización Nacional de Trasplantes (ONT), en colaboración con la Subcomisión Nacional de Seguridad </w:t>
      </w:r>
      <w:r w:rsidR="003A6714">
        <w:rPr>
          <w:rFonts w:asciiTheme="minorHAnsi" w:hAnsiTheme="minorHAnsi"/>
          <w:color w:val="17365D" w:themeColor="text2" w:themeShade="BF"/>
        </w:rPr>
        <w:t xml:space="preserve">de Órganos, Tejidos y Células </w:t>
      </w:r>
      <w:r>
        <w:rPr>
          <w:rFonts w:asciiTheme="minorHAnsi" w:hAnsiTheme="minorHAnsi"/>
          <w:color w:val="17365D" w:themeColor="text2" w:themeShade="BF"/>
        </w:rPr>
        <w:t xml:space="preserve">y la Coordinación Autonómica de Trasplantes de Andalucía, </w:t>
      </w:r>
      <w:r w:rsidRPr="00BA42BE">
        <w:rPr>
          <w:rFonts w:asciiTheme="minorHAnsi" w:hAnsiTheme="minorHAnsi"/>
          <w:color w:val="17365D" w:themeColor="text2" w:themeShade="BF"/>
        </w:rPr>
        <w:t xml:space="preserve">con la finalidad de </w:t>
      </w:r>
      <w:r>
        <w:rPr>
          <w:rFonts w:asciiTheme="minorHAnsi" w:hAnsiTheme="minorHAnsi"/>
          <w:color w:val="17365D" w:themeColor="text2" w:themeShade="BF"/>
        </w:rPr>
        <w:t xml:space="preserve">informar sobre </w:t>
      </w:r>
      <w:r w:rsidRPr="00BA42BE">
        <w:rPr>
          <w:rFonts w:asciiTheme="minorHAnsi" w:hAnsiTheme="minorHAnsi"/>
          <w:color w:val="17365D" w:themeColor="text2" w:themeShade="BF"/>
        </w:rPr>
        <w:t>los aspectos más relevantes de la infección por</w:t>
      </w:r>
      <w:r>
        <w:rPr>
          <w:rFonts w:asciiTheme="minorHAnsi" w:hAnsiTheme="minorHAnsi"/>
          <w:color w:val="17365D" w:themeColor="text2" w:themeShade="BF"/>
        </w:rPr>
        <w:t xml:space="preserve"> el</w:t>
      </w:r>
      <w:r w:rsidRPr="00BA42BE">
        <w:rPr>
          <w:rFonts w:asciiTheme="minorHAnsi" w:hAnsiTheme="minorHAnsi"/>
          <w:color w:val="17365D" w:themeColor="text2" w:themeShade="BF"/>
        </w:rPr>
        <w:t xml:space="preserve"> VNO y emitir recomendaciones de actuación </w:t>
      </w:r>
      <w:r>
        <w:rPr>
          <w:rFonts w:asciiTheme="minorHAnsi" w:hAnsiTheme="minorHAnsi"/>
          <w:color w:val="17365D" w:themeColor="text2" w:themeShade="BF"/>
        </w:rPr>
        <w:t xml:space="preserve">dirigidas </w:t>
      </w:r>
      <w:r w:rsidRPr="00BA42BE">
        <w:rPr>
          <w:rFonts w:asciiTheme="minorHAnsi" w:hAnsiTheme="minorHAnsi"/>
          <w:color w:val="17365D" w:themeColor="text2" w:themeShade="BF"/>
        </w:rPr>
        <w:t xml:space="preserve">a la Red de Coordinación y Trasplantes </w:t>
      </w:r>
      <w:r>
        <w:rPr>
          <w:rFonts w:asciiTheme="minorHAnsi" w:hAnsiTheme="minorHAnsi"/>
          <w:color w:val="17365D" w:themeColor="text2" w:themeShade="BF"/>
        </w:rPr>
        <w:t xml:space="preserve">en relación con la donación de órganos, tejidos y células. </w:t>
      </w:r>
      <w:r w:rsidRPr="00BA42BE">
        <w:rPr>
          <w:rFonts w:asciiTheme="minorHAnsi" w:hAnsiTheme="minorHAnsi"/>
          <w:color w:val="17365D" w:themeColor="text2" w:themeShade="BF"/>
        </w:rPr>
        <w:t xml:space="preserve"> </w:t>
      </w:r>
    </w:p>
    <w:p w14:paraId="348C796F" w14:textId="77777777" w:rsidR="00B84F0E" w:rsidRPr="00BA42BE" w:rsidRDefault="00B84F0E" w:rsidP="00D954AE">
      <w:pPr>
        <w:pStyle w:val="Default"/>
        <w:spacing w:line="360" w:lineRule="auto"/>
        <w:jc w:val="both"/>
        <w:rPr>
          <w:rFonts w:asciiTheme="minorHAnsi" w:hAnsiTheme="minorHAnsi"/>
          <w:color w:val="17365D" w:themeColor="text2" w:themeShade="BF"/>
        </w:rPr>
      </w:pPr>
    </w:p>
    <w:p w14:paraId="041328D8" w14:textId="58D7E663" w:rsidR="00CC215B" w:rsidRPr="00BA42BE" w:rsidRDefault="00D113E0" w:rsidP="00671DBE">
      <w:pPr>
        <w:shd w:val="clear" w:color="auto" w:fill="B8CCE4" w:themeFill="accent1" w:themeFillTint="66"/>
        <w:autoSpaceDE w:val="0"/>
        <w:autoSpaceDN w:val="0"/>
        <w:adjustRightInd w:val="0"/>
        <w:spacing w:before="120" w:after="120"/>
        <w:jc w:val="both"/>
        <w:rPr>
          <w:rFonts w:eastAsia="Times New Roman" w:cs="Arial"/>
          <w:b/>
          <w:color w:val="17365D" w:themeColor="text2" w:themeShade="BF"/>
          <w:sz w:val="24"/>
          <w:szCs w:val="24"/>
          <w:lang w:eastAsia="es-ES"/>
        </w:rPr>
      </w:pPr>
      <w:r w:rsidRPr="00BA42BE">
        <w:rPr>
          <w:rFonts w:eastAsia="Times New Roman" w:cs="Arial"/>
          <w:b/>
          <w:color w:val="17365D" w:themeColor="text2" w:themeShade="BF"/>
          <w:sz w:val="24"/>
          <w:szCs w:val="24"/>
          <w:lang w:eastAsia="es-ES"/>
        </w:rPr>
        <w:t xml:space="preserve">ASPECTOS GENERALES DE LA INFECCIÓN </w:t>
      </w:r>
      <w:r w:rsidR="00B84F0E">
        <w:rPr>
          <w:rFonts w:eastAsia="Times New Roman" w:cs="Arial"/>
          <w:b/>
          <w:color w:val="17365D" w:themeColor="text2" w:themeShade="BF"/>
          <w:sz w:val="24"/>
          <w:szCs w:val="24"/>
          <w:lang w:eastAsia="es-ES"/>
        </w:rPr>
        <w:t>POR EL VIRUS DEL NILO OCCIDENTAL</w:t>
      </w:r>
    </w:p>
    <w:p w14:paraId="61E4AC49" w14:textId="2AF73274" w:rsidR="00B51E24" w:rsidRPr="00BA42BE" w:rsidRDefault="00AD62BF" w:rsidP="004366E3">
      <w:pPr>
        <w:pStyle w:val="Default"/>
        <w:spacing w:line="360" w:lineRule="auto"/>
        <w:jc w:val="both"/>
        <w:rPr>
          <w:rFonts w:asciiTheme="minorHAnsi" w:hAnsiTheme="minorHAnsi" w:cstheme="minorHAnsi"/>
          <w:color w:val="17365D" w:themeColor="text2" w:themeShade="BF"/>
        </w:rPr>
      </w:pPr>
      <w:r w:rsidRPr="00BA42BE">
        <w:rPr>
          <w:rFonts w:asciiTheme="minorHAnsi" w:hAnsiTheme="minorHAnsi" w:cstheme="minorHAnsi"/>
          <w:color w:val="17365D" w:themeColor="text2" w:themeShade="BF"/>
        </w:rPr>
        <w:t xml:space="preserve">El </w:t>
      </w:r>
      <w:r w:rsidR="004845FB" w:rsidRPr="00BA42BE">
        <w:rPr>
          <w:rFonts w:asciiTheme="minorHAnsi" w:hAnsiTheme="minorHAnsi" w:cstheme="minorHAnsi"/>
          <w:color w:val="17365D" w:themeColor="text2" w:themeShade="BF"/>
        </w:rPr>
        <w:t xml:space="preserve">VNO </w:t>
      </w:r>
      <w:r w:rsidR="004366E3" w:rsidRPr="00BA42BE">
        <w:rPr>
          <w:rFonts w:asciiTheme="minorHAnsi" w:hAnsiTheme="minorHAnsi" w:cstheme="minorHAnsi"/>
          <w:color w:val="17365D" w:themeColor="text2" w:themeShade="BF"/>
        </w:rPr>
        <w:t xml:space="preserve">es un virus ARN del género </w:t>
      </w:r>
      <w:proofErr w:type="spellStart"/>
      <w:r w:rsidR="00451ADA" w:rsidRPr="00F9735B">
        <w:rPr>
          <w:rFonts w:asciiTheme="minorHAnsi" w:hAnsiTheme="minorHAnsi" w:cstheme="minorHAnsi"/>
          <w:i/>
          <w:color w:val="17365D" w:themeColor="text2" w:themeShade="BF"/>
        </w:rPr>
        <w:t>Flavivirus</w:t>
      </w:r>
      <w:proofErr w:type="spellEnd"/>
      <w:r w:rsidR="00451ADA" w:rsidRPr="00451ADA">
        <w:rPr>
          <w:rFonts w:asciiTheme="minorHAnsi" w:hAnsiTheme="minorHAnsi" w:cstheme="minorHAnsi"/>
          <w:color w:val="17365D" w:themeColor="text2" w:themeShade="BF"/>
        </w:rPr>
        <w:t>, que incluye otros virus como el de</w:t>
      </w:r>
      <w:r w:rsidR="00B427A2">
        <w:rPr>
          <w:rFonts w:asciiTheme="minorHAnsi" w:hAnsiTheme="minorHAnsi" w:cstheme="minorHAnsi"/>
          <w:color w:val="17365D" w:themeColor="text2" w:themeShade="BF"/>
        </w:rPr>
        <w:t xml:space="preserve">l </w:t>
      </w:r>
      <w:proofErr w:type="spellStart"/>
      <w:r w:rsidR="00B427A2">
        <w:rPr>
          <w:rFonts w:asciiTheme="minorHAnsi" w:hAnsiTheme="minorHAnsi" w:cstheme="minorHAnsi"/>
          <w:color w:val="17365D" w:themeColor="text2" w:themeShade="BF"/>
        </w:rPr>
        <w:t>Zika</w:t>
      </w:r>
      <w:proofErr w:type="spellEnd"/>
      <w:r w:rsidR="00B427A2">
        <w:rPr>
          <w:rFonts w:asciiTheme="minorHAnsi" w:hAnsiTheme="minorHAnsi" w:cstheme="minorHAnsi"/>
          <w:color w:val="17365D" w:themeColor="text2" w:themeShade="BF"/>
        </w:rPr>
        <w:t xml:space="preserve">, </w:t>
      </w:r>
      <w:r w:rsidR="00451ADA" w:rsidRPr="00451ADA">
        <w:rPr>
          <w:rFonts w:asciiTheme="minorHAnsi" w:hAnsiTheme="minorHAnsi" w:cstheme="minorHAnsi"/>
          <w:color w:val="17365D" w:themeColor="text2" w:themeShade="BF"/>
        </w:rPr>
        <w:t xml:space="preserve">la fiebre amarilla, </w:t>
      </w:r>
      <w:r w:rsidR="00B427A2">
        <w:rPr>
          <w:rFonts w:asciiTheme="minorHAnsi" w:hAnsiTheme="minorHAnsi" w:cstheme="minorHAnsi"/>
          <w:color w:val="17365D" w:themeColor="text2" w:themeShade="BF"/>
        </w:rPr>
        <w:t xml:space="preserve">el </w:t>
      </w:r>
      <w:r w:rsidR="00451ADA" w:rsidRPr="00451ADA">
        <w:rPr>
          <w:rFonts w:asciiTheme="minorHAnsi" w:hAnsiTheme="minorHAnsi" w:cstheme="minorHAnsi"/>
          <w:color w:val="17365D" w:themeColor="text2" w:themeShade="BF"/>
        </w:rPr>
        <w:t xml:space="preserve">dengue, </w:t>
      </w:r>
      <w:r w:rsidR="00B427A2">
        <w:rPr>
          <w:rFonts w:asciiTheme="minorHAnsi" w:hAnsiTheme="minorHAnsi" w:cstheme="minorHAnsi"/>
          <w:color w:val="17365D" w:themeColor="text2" w:themeShade="BF"/>
        </w:rPr>
        <w:t xml:space="preserve">la </w:t>
      </w:r>
      <w:r w:rsidR="00451ADA" w:rsidRPr="00451ADA">
        <w:rPr>
          <w:rFonts w:asciiTheme="minorHAnsi" w:hAnsiTheme="minorHAnsi" w:cstheme="minorHAnsi"/>
          <w:color w:val="17365D" w:themeColor="text2" w:themeShade="BF"/>
        </w:rPr>
        <w:t xml:space="preserve">encefalitis japonesa o </w:t>
      </w:r>
      <w:r w:rsidR="00B427A2">
        <w:rPr>
          <w:rFonts w:asciiTheme="minorHAnsi" w:hAnsiTheme="minorHAnsi" w:cstheme="minorHAnsi"/>
          <w:color w:val="17365D" w:themeColor="text2" w:themeShade="BF"/>
        </w:rPr>
        <w:t xml:space="preserve">la </w:t>
      </w:r>
      <w:r w:rsidR="00451ADA" w:rsidRPr="00451ADA">
        <w:rPr>
          <w:rFonts w:asciiTheme="minorHAnsi" w:hAnsiTheme="minorHAnsi" w:cstheme="minorHAnsi"/>
          <w:color w:val="17365D" w:themeColor="text2" w:themeShade="BF"/>
        </w:rPr>
        <w:t xml:space="preserve">encefalitis de San Luis. Es un </w:t>
      </w:r>
      <w:proofErr w:type="spellStart"/>
      <w:r w:rsidR="00451ADA" w:rsidRPr="00451ADA">
        <w:rPr>
          <w:rFonts w:asciiTheme="minorHAnsi" w:hAnsiTheme="minorHAnsi" w:cstheme="minorHAnsi"/>
          <w:color w:val="17365D" w:themeColor="text2" w:themeShade="BF"/>
        </w:rPr>
        <w:t>arbovirus</w:t>
      </w:r>
      <w:proofErr w:type="spellEnd"/>
      <w:r w:rsidR="00451ADA" w:rsidRPr="00451ADA">
        <w:rPr>
          <w:rFonts w:asciiTheme="minorHAnsi" w:hAnsiTheme="minorHAnsi" w:cstheme="minorHAnsi"/>
          <w:color w:val="17365D" w:themeColor="text2" w:themeShade="BF"/>
        </w:rPr>
        <w:t xml:space="preserve"> </w:t>
      </w:r>
      <w:proofErr w:type="spellStart"/>
      <w:r w:rsidR="00451ADA" w:rsidRPr="00451ADA">
        <w:rPr>
          <w:rFonts w:asciiTheme="minorHAnsi" w:hAnsiTheme="minorHAnsi" w:cstheme="minorHAnsi"/>
          <w:color w:val="17365D" w:themeColor="text2" w:themeShade="BF"/>
        </w:rPr>
        <w:t>zoonótico</w:t>
      </w:r>
      <w:proofErr w:type="spellEnd"/>
      <w:r w:rsidR="00451ADA" w:rsidRPr="00451ADA">
        <w:rPr>
          <w:rFonts w:asciiTheme="minorHAnsi" w:hAnsiTheme="minorHAnsi" w:cstheme="minorHAnsi"/>
          <w:color w:val="17365D" w:themeColor="text2" w:themeShade="BF"/>
        </w:rPr>
        <w:t xml:space="preserve">, lo que implica que se transmite al hombre desde su reservorio animal (las aves) mediante artrópodos, en este caso, mosquitos, </w:t>
      </w:r>
      <w:r w:rsidR="00451ADA">
        <w:rPr>
          <w:rFonts w:asciiTheme="minorHAnsi" w:hAnsiTheme="minorHAnsi" w:cstheme="minorHAnsi"/>
          <w:color w:val="17365D" w:themeColor="text2" w:themeShade="BF"/>
        </w:rPr>
        <w:t xml:space="preserve">principalmente del género </w:t>
      </w:r>
      <w:proofErr w:type="spellStart"/>
      <w:r w:rsidR="00451ADA" w:rsidRPr="00F9735B">
        <w:rPr>
          <w:rFonts w:asciiTheme="minorHAnsi" w:hAnsiTheme="minorHAnsi" w:cstheme="minorHAnsi"/>
          <w:i/>
          <w:color w:val="17365D" w:themeColor="text2" w:themeShade="BF"/>
        </w:rPr>
        <w:t>Culex</w:t>
      </w:r>
      <w:proofErr w:type="spellEnd"/>
      <w:r w:rsidR="00451ADA" w:rsidRPr="00451ADA">
        <w:rPr>
          <w:rFonts w:asciiTheme="minorHAnsi" w:hAnsiTheme="minorHAnsi" w:cstheme="minorHAnsi"/>
          <w:color w:val="17365D" w:themeColor="text2" w:themeShade="BF"/>
        </w:rPr>
        <w:t>. El virus se mantiene en la naturaleza gracias a las aves</w:t>
      </w:r>
      <w:r w:rsidR="00D15638">
        <w:rPr>
          <w:rFonts w:asciiTheme="minorHAnsi" w:hAnsiTheme="minorHAnsi" w:cstheme="minorHAnsi"/>
          <w:color w:val="17365D" w:themeColor="text2" w:themeShade="BF"/>
        </w:rPr>
        <w:t>,</w:t>
      </w:r>
      <w:r w:rsidR="00451ADA" w:rsidRPr="00451ADA">
        <w:rPr>
          <w:rFonts w:asciiTheme="minorHAnsi" w:hAnsiTheme="minorHAnsi" w:cstheme="minorHAnsi"/>
          <w:color w:val="17365D" w:themeColor="text2" w:themeShade="BF"/>
        </w:rPr>
        <w:t xml:space="preserve"> que actúan como reservorio y son el</w:t>
      </w:r>
      <w:r w:rsidR="00451ADA">
        <w:rPr>
          <w:rFonts w:asciiTheme="minorHAnsi" w:hAnsiTheme="minorHAnsi" w:cstheme="minorHAnsi"/>
          <w:color w:val="17365D" w:themeColor="text2" w:themeShade="BF"/>
        </w:rPr>
        <w:t xml:space="preserve"> hospedador principal del virus</w:t>
      </w:r>
      <w:r w:rsidR="00451ADA" w:rsidRPr="00451ADA">
        <w:rPr>
          <w:rFonts w:asciiTheme="minorHAnsi" w:hAnsiTheme="minorHAnsi" w:cstheme="minorHAnsi"/>
          <w:color w:val="17365D" w:themeColor="text2" w:themeShade="BF"/>
        </w:rPr>
        <w:t>. Los mamíferos, principalmente el hombre y el caballo, son hospedadores accidentales</w:t>
      </w:r>
      <w:r w:rsidR="00F92BC7">
        <w:rPr>
          <w:rFonts w:asciiTheme="minorHAnsi" w:hAnsiTheme="minorHAnsi" w:cstheme="minorHAnsi"/>
          <w:color w:val="17365D" w:themeColor="text2" w:themeShade="BF"/>
        </w:rPr>
        <w:t xml:space="preserve">. </w:t>
      </w:r>
      <w:r w:rsidR="00E12247" w:rsidRPr="00BA42BE">
        <w:rPr>
          <w:rFonts w:asciiTheme="minorHAnsi" w:hAnsiTheme="minorHAnsi" w:cstheme="minorHAnsi"/>
          <w:color w:val="17365D" w:themeColor="text2" w:themeShade="BF"/>
        </w:rPr>
        <w:t xml:space="preserve">El mecanismo de transmisión más frecuente al hombre es la picadura </w:t>
      </w:r>
      <w:r w:rsidR="00B427A2">
        <w:rPr>
          <w:rFonts w:asciiTheme="minorHAnsi" w:hAnsiTheme="minorHAnsi" w:cstheme="minorHAnsi"/>
          <w:color w:val="17365D" w:themeColor="text2" w:themeShade="BF"/>
        </w:rPr>
        <w:t>por un</w:t>
      </w:r>
      <w:r w:rsidR="00B427A2" w:rsidRPr="00BA42BE">
        <w:rPr>
          <w:rFonts w:asciiTheme="minorHAnsi" w:hAnsiTheme="minorHAnsi" w:cstheme="minorHAnsi"/>
          <w:color w:val="17365D" w:themeColor="text2" w:themeShade="BF"/>
        </w:rPr>
        <w:t xml:space="preserve"> </w:t>
      </w:r>
      <w:r w:rsidR="00E12247" w:rsidRPr="00BA42BE">
        <w:rPr>
          <w:rFonts w:asciiTheme="minorHAnsi" w:hAnsiTheme="minorHAnsi" w:cstheme="minorHAnsi"/>
          <w:color w:val="17365D" w:themeColor="text2" w:themeShade="BF"/>
        </w:rPr>
        <w:t>mosquito</w:t>
      </w:r>
      <w:r w:rsidR="00B427A2">
        <w:rPr>
          <w:rFonts w:asciiTheme="minorHAnsi" w:hAnsiTheme="minorHAnsi" w:cstheme="minorHAnsi"/>
          <w:color w:val="17365D" w:themeColor="text2" w:themeShade="BF"/>
        </w:rPr>
        <w:t xml:space="preserve"> infectado</w:t>
      </w:r>
      <w:r w:rsidR="00E12247" w:rsidRPr="00BA42BE">
        <w:rPr>
          <w:rFonts w:asciiTheme="minorHAnsi" w:hAnsiTheme="minorHAnsi" w:cstheme="minorHAnsi"/>
          <w:color w:val="17365D" w:themeColor="text2" w:themeShade="BF"/>
        </w:rPr>
        <w:t xml:space="preserve">. </w:t>
      </w:r>
    </w:p>
    <w:p w14:paraId="1E9B5FBE" w14:textId="7C5A66AC" w:rsidR="00897C35" w:rsidRDefault="000848F5" w:rsidP="00B51E24">
      <w:pPr>
        <w:spacing w:before="100" w:beforeAutospacing="1" w:after="100" w:afterAutospacing="1" w:line="360" w:lineRule="auto"/>
        <w:jc w:val="both"/>
        <w:rPr>
          <w:rFonts w:eastAsia="Times New Roman" w:cs="Times New Roman"/>
          <w:color w:val="17365D" w:themeColor="text2" w:themeShade="BF"/>
          <w:sz w:val="24"/>
          <w:szCs w:val="24"/>
          <w:lang w:eastAsia="es-ES"/>
        </w:rPr>
      </w:pPr>
      <w:r w:rsidRPr="00BA42BE">
        <w:rPr>
          <w:rFonts w:eastAsia="Times New Roman" w:cs="Times New Roman"/>
          <w:color w:val="17365D" w:themeColor="text2" w:themeShade="BF"/>
          <w:sz w:val="24"/>
          <w:szCs w:val="24"/>
          <w:lang w:eastAsia="es-ES"/>
        </w:rPr>
        <w:t xml:space="preserve">La infección por el </w:t>
      </w:r>
      <w:r w:rsidR="00533E0C">
        <w:rPr>
          <w:rFonts w:eastAsia="Times New Roman" w:cs="Times New Roman"/>
          <w:color w:val="17365D" w:themeColor="text2" w:themeShade="BF"/>
          <w:sz w:val="24"/>
          <w:szCs w:val="24"/>
          <w:lang w:eastAsia="es-ES"/>
        </w:rPr>
        <w:t>VNO</w:t>
      </w:r>
      <w:r w:rsidRPr="00BA42BE">
        <w:rPr>
          <w:rFonts w:eastAsia="Times New Roman" w:cs="Times New Roman"/>
          <w:color w:val="17365D" w:themeColor="text2" w:themeShade="BF"/>
          <w:sz w:val="24"/>
          <w:szCs w:val="24"/>
          <w:lang w:eastAsia="es-ES"/>
        </w:rPr>
        <w:t xml:space="preserve"> es asintomática en aproximadamente un </w:t>
      </w:r>
      <w:r w:rsidR="00B51E24" w:rsidRPr="00BA42BE">
        <w:rPr>
          <w:rFonts w:eastAsia="Times New Roman" w:cs="Times New Roman"/>
          <w:color w:val="17365D" w:themeColor="text2" w:themeShade="BF"/>
          <w:sz w:val="24"/>
          <w:szCs w:val="24"/>
          <w:lang w:eastAsia="es-ES"/>
        </w:rPr>
        <w:t xml:space="preserve">80% de las personas infectadas. </w:t>
      </w:r>
      <w:r w:rsidR="00533E0C">
        <w:rPr>
          <w:rFonts w:eastAsia="Times New Roman" w:cs="Times New Roman"/>
          <w:color w:val="17365D" w:themeColor="text2" w:themeShade="BF"/>
          <w:sz w:val="24"/>
          <w:szCs w:val="24"/>
          <w:lang w:eastAsia="es-ES"/>
        </w:rPr>
        <w:t xml:space="preserve">El </w:t>
      </w:r>
      <w:r w:rsidRPr="00BA42BE">
        <w:rPr>
          <w:rFonts w:eastAsia="Times New Roman" w:cs="Times New Roman"/>
          <w:color w:val="17365D" w:themeColor="text2" w:themeShade="BF"/>
          <w:sz w:val="24"/>
          <w:szCs w:val="24"/>
          <w:lang w:eastAsia="es-ES"/>
        </w:rPr>
        <w:t xml:space="preserve">20% </w:t>
      </w:r>
      <w:r w:rsidR="00533E0C">
        <w:rPr>
          <w:rFonts w:eastAsia="Times New Roman" w:cs="Times New Roman"/>
          <w:color w:val="17365D" w:themeColor="text2" w:themeShade="BF"/>
          <w:sz w:val="24"/>
          <w:szCs w:val="24"/>
          <w:lang w:eastAsia="es-ES"/>
        </w:rPr>
        <w:t xml:space="preserve">restante </w:t>
      </w:r>
      <w:r w:rsidRPr="00BA42BE">
        <w:rPr>
          <w:rFonts w:eastAsia="Times New Roman" w:cs="Times New Roman"/>
          <w:color w:val="17365D" w:themeColor="text2" w:themeShade="BF"/>
          <w:sz w:val="24"/>
          <w:szCs w:val="24"/>
          <w:lang w:eastAsia="es-ES"/>
        </w:rPr>
        <w:t xml:space="preserve">presenta </w:t>
      </w:r>
      <w:r w:rsidR="00533E0C">
        <w:rPr>
          <w:rFonts w:eastAsia="Times New Roman" w:cs="Times New Roman"/>
          <w:color w:val="17365D" w:themeColor="text2" w:themeShade="BF"/>
          <w:sz w:val="24"/>
          <w:szCs w:val="24"/>
          <w:lang w:eastAsia="es-ES"/>
        </w:rPr>
        <w:t xml:space="preserve">clínica, habitualmente </w:t>
      </w:r>
      <w:r w:rsidRPr="00BA42BE">
        <w:rPr>
          <w:rFonts w:eastAsia="Times New Roman" w:cs="Times New Roman"/>
          <w:color w:val="17365D" w:themeColor="text2" w:themeShade="BF"/>
          <w:sz w:val="24"/>
          <w:szCs w:val="24"/>
          <w:lang w:eastAsia="es-ES"/>
        </w:rPr>
        <w:t xml:space="preserve">fiebre, </w:t>
      </w:r>
      <w:r w:rsidR="00533E0C">
        <w:rPr>
          <w:rFonts w:eastAsia="Times New Roman" w:cs="Times New Roman"/>
          <w:color w:val="17365D" w:themeColor="text2" w:themeShade="BF"/>
          <w:sz w:val="24"/>
          <w:szCs w:val="24"/>
          <w:lang w:eastAsia="es-ES"/>
        </w:rPr>
        <w:t>cefalea</w:t>
      </w:r>
      <w:r w:rsidRPr="00BA42BE">
        <w:rPr>
          <w:rFonts w:eastAsia="Times New Roman" w:cs="Times New Roman"/>
          <w:color w:val="17365D" w:themeColor="text2" w:themeShade="BF"/>
          <w:sz w:val="24"/>
          <w:szCs w:val="24"/>
          <w:lang w:eastAsia="es-ES"/>
        </w:rPr>
        <w:t xml:space="preserve">, cansancio, </w:t>
      </w:r>
      <w:r w:rsidR="00533E0C">
        <w:rPr>
          <w:rFonts w:eastAsia="Times New Roman" w:cs="Times New Roman"/>
          <w:color w:val="17365D" w:themeColor="text2" w:themeShade="BF"/>
          <w:sz w:val="24"/>
          <w:szCs w:val="24"/>
          <w:lang w:eastAsia="es-ES"/>
        </w:rPr>
        <w:t>mialgias</w:t>
      </w:r>
      <w:r w:rsidRPr="00BA42BE">
        <w:rPr>
          <w:rFonts w:eastAsia="Times New Roman" w:cs="Times New Roman"/>
          <w:color w:val="17365D" w:themeColor="text2" w:themeShade="BF"/>
          <w:sz w:val="24"/>
          <w:szCs w:val="24"/>
          <w:lang w:eastAsia="es-ES"/>
        </w:rPr>
        <w:t xml:space="preserve">, náuseas, vómitos y, </w:t>
      </w:r>
      <w:r w:rsidR="00B427A2">
        <w:rPr>
          <w:rFonts w:eastAsia="Times New Roman" w:cs="Times New Roman"/>
          <w:color w:val="17365D" w:themeColor="text2" w:themeShade="BF"/>
          <w:sz w:val="24"/>
          <w:szCs w:val="24"/>
          <w:lang w:eastAsia="es-ES"/>
        </w:rPr>
        <w:t>en ocasiones</w:t>
      </w:r>
      <w:r w:rsidRPr="00BA42BE">
        <w:rPr>
          <w:rFonts w:eastAsia="Times New Roman" w:cs="Times New Roman"/>
          <w:color w:val="17365D" w:themeColor="text2" w:themeShade="BF"/>
          <w:sz w:val="24"/>
          <w:szCs w:val="24"/>
          <w:lang w:eastAsia="es-ES"/>
        </w:rPr>
        <w:t xml:space="preserve">, </w:t>
      </w:r>
      <w:r w:rsidR="00533E0C">
        <w:rPr>
          <w:rFonts w:eastAsia="Times New Roman" w:cs="Times New Roman"/>
          <w:color w:val="17365D" w:themeColor="text2" w:themeShade="BF"/>
          <w:sz w:val="24"/>
          <w:szCs w:val="24"/>
          <w:lang w:eastAsia="es-ES"/>
        </w:rPr>
        <w:t xml:space="preserve">exantema </w:t>
      </w:r>
      <w:proofErr w:type="spellStart"/>
      <w:r w:rsidR="00533E0C">
        <w:rPr>
          <w:rFonts w:eastAsia="Times New Roman" w:cs="Times New Roman"/>
          <w:color w:val="17365D" w:themeColor="text2" w:themeShade="BF"/>
          <w:sz w:val="24"/>
          <w:szCs w:val="24"/>
          <w:lang w:eastAsia="es-ES"/>
        </w:rPr>
        <w:t>maculopapular</w:t>
      </w:r>
      <w:proofErr w:type="spellEnd"/>
      <w:r w:rsidR="00B51E24" w:rsidRPr="00BA42BE">
        <w:rPr>
          <w:rFonts w:eastAsia="Times New Roman" w:cs="Times New Roman"/>
          <w:color w:val="17365D" w:themeColor="text2" w:themeShade="BF"/>
          <w:sz w:val="24"/>
          <w:szCs w:val="24"/>
          <w:lang w:eastAsia="es-ES"/>
        </w:rPr>
        <w:t xml:space="preserve"> (del tronco) </w:t>
      </w:r>
      <w:r w:rsidR="00533E0C">
        <w:rPr>
          <w:rFonts w:eastAsia="Times New Roman" w:cs="Times New Roman"/>
          <w:color w:val="17365D" w:themeColor="text2" w:themeShade="BF"/>
          <w:sz w:val="24"/>
          <w:szCs w:val="24"/>
          <w:lang w:eastAsia="es-ES"/>
        </w:rPr>
        <w:t>y adenopatías</w:t>
      </w:r>
      <w:r w:rsidRPr="00BA42BE">
        <w:rPr>
          <w:rFonts w:eastAsia="Times New Roman" w:cs="Times New Roman"/>
          <w:color w:val="17365D" w:themeColor="text2" w:themeShade="BF"/>
          <w:sz w:val="24"/>
          <w:szCs w:val="24"/>
          <w:lang w:eastAsia="es-ES"/>
        </w:rPr>
        <w:t>.</w:t>
      </w:r>
      <w:r w:rsidR="00B427A2">
        <w:rPr>
          <w:rFonts w:eastAsia="Times New Roman" w:cs="Times New Roman"/>
          <w:color w:val="17365D" w:themeColor="text2" w:themeShade="BF"/>
          <w:sz w:val="24"/>
          <w:szCs w:val="24"/>
          <w:lang w:eastAsia="es-ES"/>
        </w:rPr>
        <w:t xml:space="preserve"> </w:t>
      </w:r>
      <w:r w:rsidR="00F92BC7">
        <w:rPr>
          <w:rFonts w:eastAsia="Times New Roman" w:cs="Times New Roman"/>
          <w:color w:val="17365D" w:themeColor="text2" w:themeShade="BF"/>
          <w:sz w:val="24"/>
          <w:szCs w:val="24"/>
          <w:lang w:eastAsia="es-ES"/>
        </w:rPr>
        <w:t>Menos d</w:t>
      </w:r>
      <w:r w:rsidR="00B51E24" w:rsidRPr="00BA42BE">
        <w:rPr>
          <w:rFonts w:cs="Arial"/>
          <w:color w:val="17365D" w:themeColor="text2" w:themeShade="BF"/>
          <w:sz w:val="24"/>
          <w:szCs w:val="24"/>
          <w:lang w:eastAsia="ja-JP"/>
        </w:rPr>
        <w:t xml:space="preserve">el 1% </w:t>
      </w:r>
      <w:r w:rsidR="00533E0C">
        <w:rPr>
          <w:rFonts w:cs="Arial"/>
          <w:color w:val="17365D" w:themeColor="text2" w:themeShade="BF"/>
          <w:sz w:val="24"/>
          <w:szCs w:val="24"/>
          <w:lang w:eastAsia="ja-JP"/>
        </w:rPr>
        <w:t xml:space="preserve">de las personas infectadas </w:t>
      </w:r>
      <w:r w:rsidR="00B51E24" w:rsidRPr="00BA42BE">
        <w:rPr>
          <w:rFonts w:cs="Arial"/>
          <w:color w:val="17365D" w:themeColor="text2" w:themeShade="BF"/>
          <w:sz w:val="24"/>
          <w:szCs w:val="24"/>
          <w:lang w:eastAsia="ja-JP"/>
        </w:rPr>
        <w:t xml:space="preserve">presenta enfermedad </w:t>
      </w:r>
      <w:proofErr w:type="spellStart"/>
      <w:r w:rsidR="00B51E24" w:rsidRPr="00BA42BE">
        <w:rPr>
          <w:rFonts w:cs="Arial"/>
          <w:color w:val="17365D" w:themeColor="text2" w:themeShade="BF"/>
          <w:sz w:val="24"/>
          <w:szCs w:val="24"/>
          <w:lang w:eastAsia="ja-JP"/>
        </w:rPr>
        <w:t>neuroinvasiva</w:t>
      </w:r>
      <w:proofErr w:type="spellEnd"/>
      <w:r w:rsidR="00533E0C">
        <w:rPr>
          <w:rFonts w:cs="Arial"/>
          <w:color w:val="17365D" w:themeColor="text2" w:themeShade="BF"/>
          <w:sz w:val="24"/>
          <w:szCs w:val="24"/>
          <w:lang w:eastAsia="ja-JP"/>
        </w:rPr>
        <w:t xml:space="preserve">, que engloba tres síndromes: </w:t>
      </w:r>
      <w:r w:rsidR="00533E0C" w:rsidRPr="00D15638">
        <w:rPr>
          <w:rFonts w:eastAsia="Times New Roman" w:cs="Times New Roman"/>
          <w:color w:val="17365D" w:themeColor="text2" w:themeShade="BF"/>
          <w:sz w:val="24"/>
          <w:szCs w:val="24"/>
          <w:lang w:eastAsia="es-ES"/>
        </w:rPr>
        <w:t xml:space="preserve">meningitis (35-40%), encefalitis (55-60%) y </w:t>
      </w:r>
      <w:r w:rsidR="00533E0C" w:rsidRPr="00D15638">
        <w:rPr>
          <w:rFonts w:eastAsia="Times New Roman" w:cs="Times New Roman"/>
          <w:color w:val="17365D" w:themeColor="text2" w:themeShade="BF"/>
          <w:sz w:val="24"/>
          <w:szCs w:val="24"/>
          <w:lang w:eastAsia="es-ES"/>
        </w:rPr>
        <w:lastRenderedPageBreak/>
        <w:t>parálisis flácida aguda (5-10%)</w:t>
      </w:r>
      <w:r w:rsidR="00533E0C">
        <w:rPr>
          <w:rFonts w:eastAsia="Times New Roman" w:cs="Times New Roman"/>
          <w:color w:val="17365D" w:themeColor="text2" w:themeShade="BF"/>
          <w:sz w:val="24"/>
          <w:szCs w:val="24"/>
          <w:lang w:eastAsia="es-ES"/>
        </w:rPr>
        <w:t xml:space="preserve">. </w:t>
      </w:r>
      <w:r w:rsidR="00897C35" w:rsidRPr="00897C35">
        <w:rPr>
          <w:rFonts w:eastAsia="Times New Roman" w:cs="Times New Roman"/>
          <w:color w:val="17365D" w:themeColor="text2" w:themeShade="BF"/>
          <w:sz w:val="24"/>
          <w:szCs w:val="24"/>
          <w:lang w:eastAsia="es-ES"/>
        </w:rPr>
        <w:t xml:space="preserve">Entre los factores de riesgo para el desarrollo de </w:t>
      </w:r>
      <w:r w:rsidR="00897C35">
        <w:rPr>
          <w:rFonts w:eastAsia="Times New Roman" w:cs="Times New Roman"/>
          <w:color w:val="17365D" w:themeColor="text2" w:themeShade="BF"/>
          <w:sz w:val="24"/>
          <w:szCs w:val="24"/>
          <w:lang w:eastAsia="es-ES"/>
        </w:rPr>
        <w:t xml:space="preserve">enfermedad </w:t>
      </w:r>
      <w:proofErr w:type="spellStart"/>
      <w:r w:rsidR="00897C35">
        <w:rPr>
          <w:rFonts w:eastAsia="Times New Roman" w:cs="Times New Roman"/>
          <w:color w:val="17365D" w:themeColor="text2" w:themeShade="BF"/>
          <w:sz w:val="24"/>
          <w:szCs w:val="24"/>
          <w:lang w:eastAsia="es-ES"/>
        </w:rPr>
        <w:t>neuroinvasiva</w:t>
      </w:r>
      <w:proofErr w:type="spellEnd"/>
      <w:r w:rsidR="00897C35">
        <w:rPr>
          <w:rFonts w:eastAsia="Times New Roman" w:cs="Times New Roman"/>
          <w:color w:val="17365D" w:themeColor="text2" w:themeShade="BF"/>
          <w:sz w:val="24"/>
          <w:szCs w:val="24"/>
          <w:lang w:eastAsia="es-ES"/>
        </w:rPr>
        <w:t xml:space="preserve"> </w:t>
      </w:r>
      <w:r w:rsidR="00897C35" w:rsidRPr="00897C35">
        <w:rPr>
          <w:rFonts w:eastAsia="Times New Roman" w:cs="Times New Roman"/>
          <w:color w:val="17365D" w:themeColor="text2" w:themeShade="BF"/>
          <w:sz w:val="24"/>
          <w:szCs w:val="24"/>
          <w:lang w:eastAsia="es-ES"/>
        </w:rPr>
        <w:t>se encuentran la edad avanzada y la historia de trasplante de órgano sólido (debido a la inmunosupresión asociada); podrían también incluirse otras patologías,</w:t>
      </w:r>
      <w:r w:rsidR="00897C35">
        <w:rPr>
          <w:rFonts w:eastAsia="Times New Roman" w:cs="Times New Roman"/>
          <w:color w:val="17365D" w:themeColor="text2" w:themeShade="BF"/>
          <w:sz w:val="24"/>
          <w:szCs w:val="24"/>
          <w:lang w:eastAsia="es-ES"/>
        </w:rPr>
        <w:t xml:space="preserve"> como</w:t>
      </w:r>
      <w:r w:rsidR="00897C35" w:rsidRPr="00897C35">
        <w:rPr>
          <w:rFonts w:eastAsia="Times New Roman" w:cs="Times New Roman"/>
          <w:color w:val="17365D" w:themeColor="text2" w:themeShade="BF"/>
          <w:sz w:val="24"/>
          <w:szCs w:val="24"/>
          <w:lang w:eastAsia="es-ES"/>
        </w:rPr>
        <w:t xml:space="preserve"> la diabetes y la hipertensión</w:t>
      </w:r>
      <w:r w:rsidR="00897C35">
        <w:rPr>
          <w:rFonts w:eastAsia="Times New Roman" w:cs="Times New Roman"/>
          <w:color w:val="17365D" w:themeColor="text2" w:themeShade="BF"/>
          <w:sz w:val="24"/>
          <w:szCs w:val="24"/>
          <w:lang w:eastAsia="es-ES"/>
        </w:rPr>
        <w:t xml:space="preserve"> arterial.</w:t>
      </w:r>
    </w:p>
    <w:p w14:paraId="7BD8B129" w14:textId="32031EC0" w:rsidR="000848F5" w:rsidRPr="00BA42BE" w:rsidRDefault="000848F5" w:rsidP="00B51E24">
      <w:pPr>
        <w:spacing w:before="100" w:beforeAutospacing="1" w:after="100" w:afterAutospacing="1" w:line="360" w:lineRule="auto"/>
        <w:jc w:val="both"/>
        <w:rPr>
          <w:rFonts w:eastAsia="Times New Roman" w:cs="Times New Roman"/>
          <w:color w:val="17365D" w:themeColor="text2" w:themeShade="BF"/>
          <w:sz w:val="24"/>
          <w:szCs w:val="24"/>
          <w:lang w:eastAsia="es-ES"/>
        </w:rPr>
      </w:pPr>
      <w:r w:rsidRPr="00BA42BE">
        <w:rPr>
          <w:rFonts w:eastAsia="Times New Roman" w:cs="Times New Roman"/>
          <w:color w:val="17365D" w:themeColor="text2" w:themeShade="BF"/>
          <w:sz w:val="24"/>
          <w:szCs w:val="24"/>
          <w:lang w:eastAsia="es-ES"/>
        </w:rPr>
        <w:t xml:space="preserve">El periodo de incubación </w:t>
      </w:r>
      <w:r w:rsidR="00B427A2" w:rsidRPr="00B427A2">
        <w:rPr>
          <w:rFonts w:eastAsia="Times New Roman" w:cs="Times New Roman"/>
          <w:color w:val="17365D" w:themeColor="text2" w:themeShade="BF"/>
          <w:sz w:val="24"/>
          <w:szCs w:val="24"/>
          <w:lang w:eastAsia="es-ES"/>
        </w:rPr>
        <w:t>es de 3-15 días, aunque puede extenderse hasta 21 días.</w:t>
      </w:r>
    </w:p>
    <w:p w14:paraId="37D9896D" w14:textId="3EA2BD8D" w:rsidR="00C47926" w:rsidRPr="00BA42BE" w:rsidRDefault="004366E3" w:rsidP="00C47926">
      <w:pPr>
        <w:pStyle w:val="Default"/>
        <w:spacing w:line="360" w:lineRule="auto"/>
        <w:jc w:val="both"/>
        <w:rPr>
          <w:rFonts w:asciiTheme="minorHAnsi" w:hAnsiTheme="minorHAnsi" w:cstheme="minorHAnsi"/>
          <w:color w:val="17365D" w:themeColor="text2" w:themeShade="BF"/>
        </w:rPr>
      </w:pPr>
      <w:r w:rsidRPr="00BA42BE">
        <w:rPr>
          <w:rFonts w:asciiTheme="minorHAnsi" w:hAnsiTheme="minorHAnsi" w:cstheme="minorHAnsi"/>
          <w:color w:val="17365D" w:themeColor="text2" w:themeShade="BF"/>
        </w:rPr>
        <w:t>La transmisión del virus a través del trasplante de órganos está bien documentada</w:t>
      </w:r>
      <w:r w:rsidR="00C47926">
        <w:rPr>
          <w:rFonts w:asciiTheme="minorHAnsi" w:hAnsiTheme="minorHAnsi" w:cstheme="minorHAnsi"/>
          <w:color w:val="17365D" w:themeColor="text2" w:themeShade="BF"/>
        </w:rPr>
        <w:t xml:space="preserve">, con más de 20 casos reportados en la literatura. </w:t>
      </w:r>
      <w:r w:rsidR="00B84F0E">
        <w:rPr>
          <w:rFonts w:asciiTheme="minorHAnsi" w:hAnsiTheme="minorHAnsi" w:cstheme="minorHAnsi"/>
          <w:color w:val="17365D" w:themeColor="text2" w:themeShade="BF"/>
        </w:rPr>
        <w:t xml:space="preserve">La infección transmitida a través del trasplante </w:t>
      </w:r>
      <w:r w:rsidRPr="00BA42BE">
        <w:rPr>
          <w:rFonts w:asciiTheme="minorHAnsi" w:hAnsiTheme="minorHAnsi" w:cstheme="minorHAnsi"/>
          <w:color w:val="17365D" w:themeColor="text2" w:themeShade="BF"/>
        </w:rPr>
        <w:t xml:space="preserve">se asocia con </w:t>
      </w:r>
      <w:r w:rsidR="00510EE0">
        <w:rPr>
          <w:rFonts w:asciiTheme="minorHAnsi" w:hAnsiTheme="minorHAnsi" w:cstheme="minorHAnsi"/>
          <w:color w:val="17365D" w:themeColor="text2" w:themeShade="BF"/>
        </w:rPr>
        <w:t xml:space="preserve">una </w:t>
      </w:r>
      <w:r w:rsidRPr="00BA42BE">
        <w:rPr>
          <w:rFonts w:asciiTheme="minorHAnsi" w:hAnsiTheme="minorHAnsi" w:cstheme="minorHAnsi"/>
          <w:color w:val="17365D" w:themeColor="text2" w:themeShade="BF"/>
        </w:rPr>
        <w:t xml:space="preserve">elevada incidencia de enfermedad </w:t>
      </w:r>
      <w:proofErr w:type="spellStart"/>
      <w:r w:rsidRPr="00BA42BE">
        <w:rPr>
          <w:rFonts w:asciiTheme="minorHAnsi" w:hAnsiTheme="minorHAnsi" w:cstheme="minorHAnsi"/>
          <w:color w:val="17365D" w:themeColor="text2" w:themeShade="BF"/>
        </w:rPr>
        <w:t>neuroinvasiva</w:t>
      </w:r>
      <w:proofErr w:type="spellEnd"/>
      <w:r w:rsidRPr="00BA42BE">
        <w:rPr>
          <w:rFonts w:asciiTheme="minorHAnsi" w:hAnsiTheme="minorHAnsi" w:cstheme="minorHAnsi"/>
          <w:color w:val="17365D" w:themeColor="text2" w:themeShade="BF"/>
        </w:rPr>
        <w:t xml:space="preserve"> de presentación rápida (70%) y alta mortalidad (30%). </w:t>
      </w:r>
      <w:r w:rsidR="00B51E24" w:rsidRPr="00BA42BE">
        <w:rPr>
          <w:rFonts w:asciiTheme="minorHAnsi" w:hAnsiTheme="minorHAnsi" w:cstheme="minorHAnsi"/>
          <w:color w:val="17365D" w:themeColor="text2" w:themeShade="BF"/>
        </w:rPr>
        <w:t xml:space="preserve">La forma más frecuente de presentación es la aparición de un síndrome febril no explicado y que no responde al tratamiento antibiótico, seguido de la aparición rápida de sintomatología neurológica. </w:t>
      </w:r>
      <w:r w:rsidRPr="00BA42BE">
        <w:rPr>
          <w:rFonts w:asciiTheme="minorHAnsi" w:hAnsiTheme="minorHAnsi" w:cstheme="minorHAnsi"/>
          <w:color w:val="17365D" w:themeColor="text2" w:themeShade="BF"/>
        </w:rPr>
        <w:t xml:space="preserve">La mediana de tiempo </w:t>
      </w:r>
      <w:r w:rsidR="000848F5" w:rsidRPr="00BA42BE">
        <w:rPr>
          <w:rFonts w:asciiTheme="minorHAnsi" w:hAnsiTheme="minorHAnsi" w:cstheme="minorHAnsi"/>
          <w:color w:val="17365D" w:themeColor="text2" w:themeShade="BF"/>
        </w:rPr>
        <w:t>desde el trasplante hast</w:t>
      </w:r>
      <w:r w:rsidRPr="00BA42BE">
        <w:rPr>
          <w:rFonts w:asciiTheme="minorHAnsi" w:hAnsiTheme="minorHAnsi" w:cstheme="minorHAnsi"/>
          <w:color w:val="17365D" w:themeColor="text2" w:themeShade="BF"/>
        </w:rPr>
        <w:t xml:space="preserve">a el inicio de los síntomas </w:t>
      </w:r>
      <w:r w:rsidR="00B51E24" w:rsidRPr="00BA42BE">
        <w:rPr>
          <w:rFonts w:asciiTheme="minorHAnsi" w:hAnsiTheme="minorHAnsi" w:cstheme="minorHAnsi"/>
          <w:color w:val="17365D" w:themeColor="text2" w:themeShade="BF"/>
        </w:rPr>
        <w:t>fue</w:t>
      </w:r>
      <w:r w:rsidRPr="00BA42BE">
        <w:rPr>
          <w:rFonts w:asciiTheme="minorHAnsi" w:hAnsiTheme="minorHAnsi" w:cstheme="minorHAnsi"/>
          <w:color w:val="17365D" w:themeColor="text2" w:themeShade="BF"/>
        </w:rPr>
        <w:t xml:space="preserve"> de 13 días (5 a 37 días)</w:t>
      </w:r>
      <w:r w:rsidR="00B51E24" w:rsidRPr="00BA42BE">
        <w:rPr>
          <w:rFonts w:asciiTheme="minorHAnsi" w:hAnsiTheme="minorHAnsi" w:cstheme="minorHAnsi"/>
          <w:color w:val="17365D" w:themeColor="text2" w:themeShade="BF"/>
        </w:rPr>
        <w:t xml:space="preserve"> en los casos publicados</w:t>
      </w:r>
      <w:r w:rsidR="00B427A2">
        <w:rPr>
          <w:rFonts w:asciiTheme="minorHAnsi" w:hAnsiTheme="minorHAnsi" w:cstheme="minorHAnsi"/>
          <w:color w:val="17365D" w:themeColor="text2" w:themeShade="BF"/>
        </w:rPr>
        <w:t xml:space="preserve"> de transmisión de infección por el VNO a partir del donante</w:t>
      </w:r>
      <w:r w:rsidRPr="00BA42BE">
        <w:rPr>
          <w:rFonts w:asciiTheme="minorHAnsi" w:hAnsiTheme="minorHAnsi" w:cstheme="minorHAnsi"/>
          <w:color w:val="17365D" w:themeColor="text2" w:themeShade="BF"/>
        </w:rPr>
        <w:t xml:space="preserve">. </w:t>
      </w:r>
    </w:p>
    <w:p w14:paraId="6E755B15" w14:textId="77777777" w:rsidR="00AD62BF" w:rsidRPr="00BA42BE" w:rsidRDefault="00AD62BF" w:rsidP="00E12247">
      <w:pPr>
        <w:pStyle w:val="Default"/>
        <w:spacing w:line="276" w:lineRule="auto"/>
        <w:jc w:val="both"/>
        <w:rPr>
          <w:rFonts w:asciiTheme="minorHAnsi" w:hAnsiTheme="minorHAnsi" w:cstheme="minorHAnsi"/>
          <w:color w:val="17365D" w:themeColor="text2" w:themeShade="BF"/>
        </w:rPr>
      </w:pPr>
    </w:p>
    <w:p w14:paraId="175D5241" w14:textId="307F9519" w:rsidR="00AD62BF" w:rsidRPr="00BA42BE" w:rsidRDefault="00AD62BF" w:rsidP="00AD62BF">
      <w:pPr>
        <w:shd w:val="clear" w:color="auto" w:fill="B8CCE4" w:themeFill="accent1" w:themeFillTint="66"/>
        <w:autoSpaceDE w:val="0"/>
        <w:autoSpaceDN w:val="0"/>
        <w:adjustRightInd w:val="0"/>
        <w:spacing w:after="120"/>
        <w:jc w:val="both"/>
        <w:rPr>
          <w:rFonts w:eastAsia="Times New Roman" w:cs="Arial"/>
          <w:b/>
          <w:color w:val="17365D" w:themeColor="text2" w:themeShade="BF"/>
          <w:sz w:val="24"/>
          <w:szCs w:val="24"/>
          <w:lang w:eastAsia="es-ES"/>
        </w:rPr>
      </w:pPr>
      <w:r w:rsidRPr="00BA42BE">
        <w:rPr>
          <w:rFonts w:eastAsia="Times New Roman" w:cs="Arial"/>
          <w:b/>
          <w:color w:val="17365D" w:themeColor="text2" w:themeShade="BF"/>
          <w:sz w:val="24"/>
          <w:szCs w:val="24"/>
          <w:lang w:eastAsia="es-ES"/>
        </w:rPr>
        <w:t>SITUACIÓN EPIDEMIOLÓGICA</w:t>
      </w:r>
      <w:r w:rsidR="00F374A5" w:rsidRPr="00BA42BE">
        <w:rPr>
          <w:rFonts w:eastAsia="Times New Roman" w:cs="Arial"/>
          <w:b/>
          <w:color w:val="17365D" w:themeColor="text2" w:themeShade="BF"/>
          <w:sz w:val="24"/>
          <w:szCs w:val="24"/>
          <w:lang w:eastAsia="es-ES"/>
        </w:rPr>
        <w:t xml:space="preserve"> </w:t>
      </w:r>
      <w:r w:rsidRPr="00BA42BE">
        <w:rPr>
          <w:rFonts w:eastAsia="Times New Roman" w:cs="Arial"/>
          <w:b/>
          <w:color w:val="17365D" w:themeColor="text2" w:themeShade="BF"/>
          <w:sz w:val="24"/>
          <w:szCs w:val="24"/>
          <w:lang w:eastAsia="es-ES"/>
        </w:rPr>
        <w:t>-</w:t>
      </w:r>
      <w:r w:rsidR="00F374A5" w:rsidRPr="00BA42BE">
        <w:rPr>
          <w:rFonts w:eastAsia="Times New Roman" w:cs="Arial"/>
          <w:b/>
          <w:color w:val="17365D" w:themeColor="text2" w:themeShade="BF"/>
          <w:sz w:val="24"/>
          <w:szCs w:val="24"/>
          <w:lang w:eastAsia="es-ES"/>
        </w:rPr>
        <w:t xml:space="preserve"> </w:t>
      </w:r>
      <w:r w:rsidRPr="00BA42BE">
        <w:rPr>
          <w:rFonts w:eastAsia="Times New Roman" w:cs="Arial"/>
          <w:b/>
          <w:color w:val="17365D" w:themeColor="text2" w:themeShade="BF"/>
          <w:sz w:val="24"/>
          <w:szCs w:val="24"/>
          <w:lang w:eastAsia="es-ES"/>
        </w:rPr>
        <w:t>ZONAS DE RIESGO</w:t>
      </w:r>
    </w:p>
    <w:p w14:paraId="6AFB1079" w14:textId="68A5F9B1" w:rsidR="007A0E26" w:rsidRPr="00BA42BE" w:rsidRDefault="004366E3" w:rsidP="00E12247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17365D" w:themeColor="text2" w:themeShade="BF"/>
        </w:rPr>
      </w:pPr>
      <w:r w:rsidRPr="00BA42BE">
        <w:rPr>
          <w:rFonts w:asciiTheme="minorHAnsi" w:hAnsiTheme="minorHAnsi" w:cstheme="minorHAnsi"/>
          <w:b/>
          <w:color w:val="17365D" w:themeColor="text2" w:themeShade="BF"/>
        </w:rPr>
        <w:t>ESPAÑA</w:t>
      </w:r>
    </w:p>
    <w:p w14:paraId="73F640DD" w14:textId="528525CB" w:rsidR="00510EE0" w:rsidRDefault="00FC38C4" w:rsidP="00510EE0">
      <w:pPr>
        <w:spacing w:after="0" w:line="360" w:lineRule="auto"/>
        <w:jc w:val="both"/>
        <w:rPr>
          <w:rStyle w:val="tlid-translation"/>
          <w:color w:val="17365D" w:themeColor="text2" w:themeShade="BF"/>
          <w:sz w:val="24"/>
          <w:szCs w:val="24"/>
        </w:rPr>
      </w:pPr>
      <w:r>
        <w:rPr>
          <w:rStyle w:val="tlid-translation"/>
          <w:color w:val="17365D" w:themeColor="text2" w:themeShade="BF"/>
          <w:sz w:val="24"/>
          <w:szCs w:val="24"/>
        </w:rPr>
        <w:t>En la temporada 2020, s</w:t>
      </w:r>
      <w:r w:rsidR="007A0E26" w:rsidRPr="00F92BC7">
        <w:rPr>
          <w:rStyle w:val="tlid-translation"/>
          <w:color w:val="17365D" w:themeColor="text2" w:themeShade="BF"/>
          <w:sz w:val="24"/>
          <w:szCs w:val="24"/>
        </w:rPr>
        <w:t xml:space="preserve">egún la información proporcionada por el </w:t>
      </w:r>
      <w:r w:rsidR="00FC39ED">
        <w:rPr>
          <w:rFonts w:cs="Arial"/>
          <w:color w:val="17365D" w:themeColor="text2" w:themeShade="BF"/>
          <w:sz w:val="24"/>
          <w:szCs w:val="24"/>
        </w:rPr>
        <w:t>Centro Nacional de Epidemiología (CNE)</w:t>
      </w:r>
      <w:r w:rsidR="00BE5B41">
        <w:rPr>
          <w:rFonts w:cs="Arial"/>
          <w:color w:val="17365D" w:themeColor="text2" w:themeShade="BF"/>
          <w:sz w:val="24"/>
          <w:szCs w:val="24"/>
        </w:rPr>
        <w:t>)</w:t>
      </w:r>
      <w:r w:rsidR="00F46EC0">
        <w:rPr>
          <w:rFonts w:cs="Arial"/>
          <w:color w:val="17365D" w:themeColor="text2" w:themeShade="BF"/>
          <w:sz w:val="24"/>
          <w:szCs w:val="24"/>
        </w:rPr>
        <w:t xml:space="preserve">, </w:t>
      </w:r>
      <w:r w:rsidR="00F566DF">
        <w:rPr>
          <w:rFonts w:cs="Arial"/>
          <w:color w:val="17365D" w:themeColor="text2" w:themeShade="BF"/>
          <w:sz w:val="24"/>
          <w:szCs w:val="24"/>
        </w:rPr>
        <w:t xml:space="preserve">hasta el 30 de noviembre, </w:t>
      </w:r>
      <w:r>
        <w:rPr>
          <w:rFonts w:cs="Arial"/>
          <w:color w:val="17365D" w:themeColor="text2" w:themeShade="BF"/>
          <w:sz w:val="24"/>
          <w:szCs w:val="24"/>
        </w:rPr>
        <w:t>s</w:t>
      </w:r>
      <w:r w:rsidR="00FC39ED">
        <w:rPr>
          <w:rFonts w:cs="Arial"/>
          <w:color w:val="17365D" w:themeColor="text2" w:themeShade="BF"/>
          <w:sz w:val="24"/>
          <w:szCs w:val="24"/>
        </w:rPr>
        <w:t xml:space="preserve">e </w:t>
      </w:r>
      <w:r>
        <w:rPr>
          <w:rFonts w:cs="Arial"/>
          <w:color w:val="17365D" w:themeColor="text2" w:themeShade="BF"/>
          <w:sz w:val="24"/>
          <w:szCs w:val="24"/>
        </w:rPr>
        <w:t>detectaron</w:t>
      </w:r>
      <w:r w:rsidR="00FC39ED">
        <w:rPr>
          <w:rStyle w:val="tlid-translation"/>
          <w:color w:val="17365D" w:themeColor="text2" w:themeShade="BF"/>
          <w:sz w:val="24"/>
          <w:szCs w:val="24"/>
        </w:rPr>
        <w:t xml:space="preserve"> </w:t>
      </w:r>
      <w:r w:rsidR="00E4650F">
        <w:rPr>
          <w:rStyle w:val="tlid-translation"/>
          <w:color w:val="17365D" w:themeColor="text2" w:themeShade="BF"/>
          <w:sz w:val="24"/>
          <w:szCs w:val="24"/>
        </w:rPr>
        <w:t>7</w:t>
      </w:r>
      <w:r w:rsidR="005727FC">
        <w:rPr>
          <w:rStyle w:val="tlid-translation"/>
          <w:color w:val="17365D" w:themeColor="text2" w:themeShade="BF"/>
          <w:sz w:val="24"/>
          <w:szCs w:val="24"/>
        </w:rPr>
        <w:t>7</w:t>
      </w:r>
      <w:r w:rsidR="00BE5B41">
        <w:rPr>
          <w:rStyle w:val="tlid-translation"/>
          <w:color w:val="17365D" w:themeColor="text2" w:themeShade="BF"/>
          <w:sz w:val="24"/>
          <w:szCs w:val="24"/>
        </w:rPr>
        <w:t xml:space="preserve"> </w:t>
      </w:r>
      <w:r w:rsidR="007401F8" w:rsidRPr="00F92BC7">
        <w:rPr>
          <w:rStyle w:val="tlid-translation"/>
          <w:color w:val="17365D" w:themeColor="text2" w:themeShade="BF"/>
          <w:sz w:val="24"/>
          <w:szCs w:val="24"/>
        </w:rPr>
        <w:t xml:space="preserve">casos de </w:t>
      </w:r>
      <w:r w:rsidR="00F566DF">
        <w:rPr>
          <w:rStyle w:val="tlid-translation"/>
          <w:color w:val="17365D" w:themeColor="text2" w:themeShade="BF"/>
          <w:sz w:val="24"/>
          <w:szCs w:val="24"/>
        </w:rPr>
        <w:t>infección por</w:t>
      </w:r>
      <w:r w:rsidR="005727FC">
        <w:rPr>
          <w:rStyle w:val="tlid-translation"/>
          <w:color w:val="17365D" w:themeColor="text2" w:themeShade="BF"/>
          <w:sz w:val="24"/>
          <w:szCs w:val="24"/>
        </w:rPr>
        <w:t xml:space="preserve"> VNO (40 confirmados y 37 probables) en las</w:t>
      </w:r>
      <w:r w:rsidR="007401F8" w:rsidRPr="00F92BC7">
        <w:rPr>
          <w:rStyle w:val="tlid-translation"/>
          <w:color w:val="17365D" w:themeColor="text2" w:themeShade="BF"/>
          <w:sz w:val="24"/>
          <w:szCs w:val="24"/>
        </w:rPr>
        <w:t xml:space="preserve"> provincia</w:t>
      </w:r>
      <w:r w:rsidR="00FC39ED">
        <w:rPr>
          <w:rStyle w:val="tlid-translation"/>
          <w:color w:val="17365D" w:themeColor="text2" w:themeShade="BF"/>
          <w:sz w:val="24"/>
          <w:szCs w:val="24"/>
        </w:rPr>
        <w:t>s</w:t>
      </w:r>
      <w:r w:rsidR="007401F8" w:rsidRPr="00F92BC7">
        <w:rPr>
          <w:rStyle w:val="tlid-translation"/>
          <w:color w:val="17365D" w:themeColor="text2" w:themeShade="BF"/>
          <w:sz w:val="24"/>
          <w:szCs w:val="24"/>
        </w:rPr>
        <w:t xml:space="preserve"> de Sevilla</w:t>
      </w:r>
      <w:r w:rsidR="004E170C">
        <w:rPr>
          <w:rStyle w:val="tlid-translation"/>
          <w:color w:val="17365D" w:themeColor="text2" w:themeShade="BF"/>
          <w:sz w:val="24"/>
          <w:szCs w:val="24"/>
        </w:rPr>
        <w:t xml:space="preserve"> (n=5</w:t>
      </w:r>
      <w:r w:rsidR="00E4650F">
        <w:rPr>
          <w:rStyle w:val="tlid-translation"/>
          <w:color w:val="17365D" w:themeColor="text2" w:themeShade="BF"/>
          <w:sz w:val="24"/>
          <w:szCs w:val="24"/>
        </w:rPr>
        <w:t>7</w:t>
      </w:r>
      <w:r w:rsidR="004E170C">
        <w:rPr>
          <w:rStyle w:val="tlid-translation"/>
          <w:color w:val="17365D" w:themeColor="text2" w:themeShade="BF"/>
          <w:sz w:val="24"/>
          <w:szCs w:val="24"/>
        </w:rPr>
        <w:t>)</w:t>
      </w:r>
      <w:r w:rsidR="00BE5B41">
        <w:rPr>
          <w:rStyle w:val="tlid-translation"/>
          <w:color w:val="17365D" w:themeColor="text2" w:themeShade="BF"/>
          <w:sz w:val="24"/>
          <w:szCs w:val="24"/>
        </w:rPr>
        <w:t>,</w:t>
      </w:r>
      <w:r w:rsidR="00FC39ED">
        <w:rPr>
          <w:rStyle w:val="tlid-translation"/>
          <w:color w:val="17365D" w:themeColor="text2" w:themeShade="BF"/>
          <w:sz w:val="24"/>
          <w:szCs w:val="24"/>
        </w:rPr>
        <w:t xml:space="preserve"> Cádiz</w:t>
      </w:r>
      <w:r w:rsidR="00BE5B41">
        <w:rPr>
          <w:rStyle w:val="tlid-translation"/>
          <w:color w:val="17365D" w:themeColor="text2" w:themeShade="BF"/>
          <w:sz w:val="24"/>
          <w:szCs w:val="24"/>
        </w:rPr>
        <w:t xml:space="preserve"> </w:t>
      </w:r>
      <w:r w:rsidR="004E170C">
        <w:rPr>
          <w:rStyle w:val="tlid-translation"/>
          <w:color w:val="17365D" w:themeColor="text2" w:themeShade="BF"/>
          <w:sz w:val="24"/>
          <w:szCs w:val="24"/>
        </w:rPr>
        <w:t>(n=1</w:t>
      </w:r>
      <w:r w:rsidR="00E4650F">
        <w:rPr>
          <w:rStyle w:val="tlid-translation"/>
          <w:color w:val="17365D" w:themeColor="text2" w:themeShade="BF"/>
          <w:sz w:val="24"/>
          <w:szCs w:val="24"/>
        </w:rPr>
        <w:t>4</w:t>
      </w:r>
      <w:r w:rsidR="004E170C">
        <w:rPr>
          <w:rStyle w:val="tlid-translation"/>
          <w:color w:val="17365D" w:themeColor="text2" w:themeShade="BF"/>
          <w:sz w:val="24"/>
          <w:szCs w:val="24"/>
        </w:rPr>
        <w:t xml:space="preserve">) </w:t>
      </w:r>
      <w:r w:rsidR="00BE5B41">
        <w:rPr>
          <w:rStyle w:val="tlid-translation"/>
          <w:color w:val="17365D" w:themeColor="text2" w:themeShade="BF"/>
          <w:sz w:val="24"/>
          <w:szCs w:val="24"/>
        </w:rPr>
        <w:t>y Badajoz</w:t>
      </w:r>
      <w:r w:rsidR="004E170C">
        <w:rPr>
          <w:rStyle w:val="tlid-translation"/>
          <w:color w:val="17365D" w:themeColor="text2" w:themeShade="BF"/>
          <w:sz w:val="24"/>
          <w:szCs w:val="24"/>
        </w:rPr>
        <w:t xml:space="preserve"> (n=</w:t>
      </w:r>
      <w:r w:rsidR="005E6643">
        <w:rPr>
          <w:rStyle w:val="tlid-translation"/>
          <w:color w:val="17365D" w:themeColor="text2" w:themeShade="BF"/>
          <w:sz w:val="24"/>
          <w:szCs w:val="24"/>
        </w:rPr>
        <w:t>6</w:t>
      </w:r>
      <w:r w:rsidR="004E170C">
        <w:rPr>
          <w:rStyle w:val="tlid-translation"/>
          <w:color w:val="17365D" w:themeColor="text2" w:themeShade="BF"/>
          <w:sz w:val="24"/>
          <w:szCs w:val="24"/>
        </w:rPr>
        <w:t>)</w:t>
      </w:r>
      <w:r w:rsidR="00F566DF">
        <w:rPr>
          <w:rStyle w:val="tlid-translation"/>
          <w:color w:val="17365D" w:themeColor="text2" w:themeShade="BF"/>
          <w:sz w:val="24"/>
          <w:szCs w:val="24"/>
        </w:rPr>
        <w:t>.</w:t>
      </w:r>
    </w:p>
    <w:p w14:paraId="65716882" w14:textId="77777777" w:rsidR="00F566DF" w:rsidRDefault="00F566DF" w:rsidP="00510EE0">
      <w:pPr>
        <w:spacing w:after="0" w:line="360" w:lineRule="auto"/>
        <w:jc w:val="both"/>
        <w:rPr>
          <w:rStyle w:val="tlid-translation"/>
          <w:color w:val="17365D" w:themeColor="text2" w:themeShade="BF"/>
          <w:sz w:val="24"/>
          <w:szCs w:val="24"/>
        </w:rPr>
      </w:pPr>
    </w:p>
    <w:p w14:paraId="69DFB23C" w14:textId="337FF9C4" w:rsidR="002525F9" w:rsidRPr="00EE1066" w:rsidRDefault="00FC39ED" w:rsidP="00EE106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Theme="minorHAnsi" w:eastAsia="Times New Roman" w:hAnsiTheme="minorHAnsi" w:cstheme="minorHAnsi"/>
          <w:color w:val="17365D" w:themeColor="text2" w:themeShade="BF"/>
          <w:sz w:val="24"/>
          <w:lang w:eastAsia="es-ES"/>
        </w:rPr>
      </w:pPr>
      <w:r w:rsidRPr="00EE1066">
        <w:rPr>
          <w:rFonts w:asciiTheme="minorHAnsi" w:eastAsia="Times New Roman" w:hAnsiTheme="minorHAnsi" w:cstheme="minorHAnsi"/>
          <w:color w:val="17365D" w:themeColor="text2" w:themeShade="BF"/>
          <w:sz w:val="24"/>
          <w:lang w:eastAsia="es-ES"/>
        </w:rPr>
        <w:t>Según la fecha de inicio síntomas, el primer caso correspond</w:t>
      </w:r>
      <w:r w:rsidR="002525F9" w:rsidRPr="00EE1066">
        <w:rPr>
          <w:rFonts w:asciiTheme="minorHAnsi" w:eastAsia="Times New Roman" w:hAnsiTheme="minorHAnsi" w:cstheme="minorHAnsi"/>
          <w:color w:val="17365D" w:themeColor="text2" w:themeShade="BF"/>
          <w:sz w:val="24"/>
          <w:lang w:eastAsia="es-ES"/>
        </w:rPr>
        <w:t>ía</w:t>
      </w:r>
      <w:r w:rsidR="00B966A8">
        <w:rPr>
          <w:rFonts w:asciiTheme="minorHAnsi" w:eastAsia="Times New Roman" w:hAnsiTheme="minorHAnsi" w:cstheme="minorHAnsi"/>
          <w:color w:val="17365D" w:themeColor="text2" w:themeShade="BF"/>
          <w:sz w:val="24"/>
          <w:lang w:eastAsia="es-ES"/>
        </w:rPr>
        <w:t xml:space="preserve">, en la provincia de Sevilla, </w:t>
      </w:r>
      <w:r w:rsidRPr="00EE1066">
        <w:rPr>
          <w:rFonts w:asciiTheme="minorHAnsi" w:eastAsia="Times New Roman" w:hAnsiTheme="minorHAnsi" w:cstheme="minorHAnsi"/>
          <w:color w:val="17365D" w:themeColor="text2" w:themeShade="BF"/>
          <w:sz w:val="24"/>
          <w:lang w:eastAsia="es-ES"/>
        </w:rPr>
        <w:t>al 12/6/2020 (identificado en búsqueda activa retrospectiva</w:t>
      </w:r>
      <w:r w:rsidR="001D44B7">
        <w:rPr>
          <w:rFonts w:asciiTheme="minorHAnsi" w:eastAsia="Times New Roman" w:hAnsiTheme="minorHAnsi" w:cstheme="minorHAnsi"/>
          <w:color w:val="17365D" w:themeColor="text2" w:themeShade="BF"/>
          <w:sz w:val="24"/>
          <w:lang w:eastAsia="es-ES"/>
        </w:rPr>
        <w:t>)</w:t>
      </w:r>
      <w:r w:rsidR="005E6643">
        <w:rPr>
          <w:rFonts w:asciiTheme="minorHAnsi" w:eastAsia="Times New Roman" w:hAnsiTheme="minorHAnsi" w:cstheme="minorHAnsi"/>
          <w:color w:val="17365D" w:themeColor="text2" w:themeShade="BF"/>
          <w:sz w:val="24"/>
          <w:lang w:eastAsia="es-ES"/>
        </w:rPr>
        <w:t xml:space="preserve"> y el último al 23/9/2020 en la provincia de Badajoz</w:t>
      </w:r>
      <w:r w:rsidRPr="00EE1066">
        <w:rPr>
          <w:rFonts w:asciiTheme="minorHAnsi" w:eastAsia="Times New Roman" w:hAnsiTheme="minorHAnsi" w:cstheme="minorHAnsi"/>
          <w:color w:val="17365D" w:themeColor="text2" w:themeShade="BF"/>
          <w:sz w:val="24"/>
          <w:lang w:eastAsia="es-ES"/>
        </w:rPr>
        <w:t>.</w:t>
      </w:r>
    </w:p>
    <w:p w14:paraId="477EAB2C" w14:textId="0D13EFF9" w:rsidR="002525F9" w:rsidRPr="00EE1066" w:rsidRDefault="00FC39ED" w:rsidP="00EE106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Theme="minorHAnsi" w:eastAsia="Times New Roman" w:hAnsiTheme="minorHAnsi" w:cstheme="minorHAnsi"/>
          <w:color w:val="17365D" w:themeColor="text2" w:themeShade="BF"/>
          <w:sz w:val="24"/>
          <w:lang w:eastAsia="es-ES"/>
        </w:rPr>
      </w:pPr>
      <w:r w:rsidRPr="00EE1066">
        <w:rPr>
          <w:rFonts w:asciiTheme="minorHAnsi" w:eastAsia="Times New Roman" w:hAnsiTheme="minorHAnsi" w:cstheme="minorHAnsi"/>
          <w:color w:val="17365D" w:themeColor="text2" w:themeShade="BF"/>
          <w:sz w:val="24"/>
          <w:lang w:eastAsia="es-ES"/>
        </w:rPr>
        <w:t>De los casos</w:t>
      </w:r>
      <w:r w:rsidR="002525F9" w:rsidRPr="00EE1066">
        <w:rPr>
          <w:rFonts w:asciiTheme="minorHAnsi" w:eastAsia="Times New Roman" w:hAnsiTheme="minorHAnsi" w:cstheme="minorHAnsi"/>
          <w:color w:val="17365D" w:themeColor="text2" w:themeShade="BF"/>
          <w:sz w:val="24"/>
          <w:lang w:eastAsia="es-ES"/>
        </w:rPr>
        <w:t xml:space="preserve"> reportados</w:t>
      </w:r>
      <w:r w:rsidRPr="00EE1066">
        <w:rPr>
          <w:rFonts w:asciiTheme="minorHAnsi" w:eastAsia="Times New Roman" w:hAnsiTheme="minorHAnsi" w:cstheme="minorHAnsi"/>
          <w:color w:val="17365D" w:themeColor="text2" w:themeShade="BF"/>
          <w:sz w:val="24"/>
          <w:lang w:eastAsia="es-ES"/>
        </w:rPr>
        <w:t xml:space="preserve">, </w:t>
      </w:r>
      <w:r w:rsidR="007B75C4">
        <w:rPr>
          <w:rFonts w:asciiTheme="minorHAnsi" w:eastAsia="Times New Roman" w:hAnsiTheme="minorHAnsi" w:cstheme="minorHAnsi"/>
          <w:color w:val="17365D" w:themeColor="text2" w:themeShade="BF"/>
          <w:sz w:val="24"/>
          <w:lang w:eastAsia="es-ES"/>
        </w:rPr>
        <w:t>4</w:t>
      </w:r>
      <w:r w:rsidR="00F566DF">
        <w:rPr>
          <w:rFonts w:asciiTheme="minorHAnsi" w:eastAsia="Times New Roman" w:hAnsiTheme="minorHAnsi" w:cstheme="minorHAnsi"/>
          <w:color w:val="17365D" w:themeColor="text2" w:themeShade="BF"/>
          <w:sz w:val="24"/>
          <w:lang w:eastAsia="es-ES"/>
        </w:rPr>
        <w:t>6</w:t>
      </w:r>
      <w:r w:rsidRPr="00EE1066">
        <w:rPr>
          <w:rFonts w:asciiTheme="minorHAnsi" w:eastAsia="Times New Roman" w:hAnsiTheme="minorHAnsi" w:cstheme="minorHAnsi"/>
          <w:color w:val="17365D" w:themeColor="text2" w:themeShade="BF"/>
          <w:sz w:val="24"/>
          <w:lang w:eastAsia="es-ES"/>
        </w:rPr>
        <w:t xml:space="preserve"> (</w:t>
      </w:r>
      <w:r w:rsidR="00E4650F">
        <w:rPr>
          <w:rFonts w:asciiTheme="minorHAnsi" w:eastAsia="Times New Roman" w:hAnsiTheme="minorHAnsi" w:cstheme="minorHAnsi"/>
          <w:color w:val="17365D" w:themeColor="text2" w:themeShade="BF"/>
          <w:sz w:val="24"/>
          <w:lang w:eastAsia="es-ES"/>
        </w:rPr>
        <w:t>59,7</w:t>
      </w:r>
      <w:r w:rsidRPr="00EE1066">
        <w:rPr>
          <w:rFonts w:asciiTheme="minorHAnsi" w:eastAsia="Times New Roman" w:hAnsiTheme="minorHAnsi" w:cstheme="minorHAnsi"/>
          <w:color w:val="17365D" w:themeColor="text2" w:themeShade="BF"/>
          <w:sz w:val="24"/>
          <w:lang w:eastAsia="es-ES"/>
        </w:rPr>
        <w:t xml:space="preserve">%) </w:t>
      </w:r>
      <w:r w:rsidR="006F0DE9">
        <w:rPr>
          <w:rFonts w:asciiTheme="minorHAnsi" w:eastAsia="Times New Roman" w:hAnsiTheme="minorHAnsi" w:cstheme="minorHAnsi"/>
          <w:color w:val="17365D" w:themeColor="text2" w:themeShade="BF"/>
          <w:sz w:val="24"/>
          <w:lang w:eastAsia="es-ES"/>
        </w:rPr>
        <w:t>fueron</w:t>
      </w:r>
      <w:r w:rsidRPr="00EE1066">
        <w:rPr>
          <w:rFonts w:asciiTheme="minorHAnsi" w:eastAsia="Times New Roman" w:hAnsiTheme="minorHAnsi" w:cstheme="minorHAnsi"/>
          <w:color w:val="17365D" w:themeColor="text2" w:themeShade="BF"/>
          <w:sz w:val="24"/>
          <w:lang w:eastAsia="es-ES"/>
        </w:rPr>
        <w:t xml:space="preserve"> hombres y </w:t>
      </w:r>
      <w:r w:rsidR="006F0DE9">
        <w:rPr>
          <w:rFonts w:asciiTheme="minorHAnsi" w:eastAsia="Times New Roman" w:hAnsiTheme="minorHAnsi" w:cstheme="minorHAnsi"/>
          <w:color w:val="17365D" w:themeColor="text2" w:themeShade="BF"/>
          <w:sz w:val="24"/>
          <w:lang w:eastAsia="es-ES"/>
        </w:rPr>
        <w:t>31</w:t>
      </w:r>
      <w:r w:rsidRPr="00EE1066">
        <w:rPr>
          <w:rFonts w:asciiTheme="minorHAnsi" w:eastAsia="Times New Roman" w:hAnsiTheme="minorHAnsi" w:cstheme="minorHAnsi"/>
          <w:color w:val="17365D" w:themeColor="text2" w:themeShade="BF"/>
          <w:sz w:val="24"/>
          <w:lang w:eastAsia="es-ES"/>
        </w:rPr>
        <w:t xml:space="preserve"> mujeres</w:t>
      </w:r>
      <w:r w:rsidR="00AD4A5E">
        <w:rPr>
          <w:rFonts w:asciiTheme="minorHAnsi" w:eastAsia="Times New Roman" w:hAnsiTheme="minorHAnsi" w:cstheme="minorHAnsi"/>
          <w:color w:val="17365D" w:themeColor="text2" w:themeShade="BF"/>
          <w:sz w:val="24"/>
          <w:lang w:eastAsia="es-ES"/>
        </w:rPr>
        <w:t>, con una m</w:t>
      </w:r>
      <w:r w:rsidR="002525F9" w:rsidRPr="00EE1066">
        <w:rPr>
          <w:rFonts w:asciiTheme="minorHAnsi" w:eastAsia="Times New Roman" w:hAnsiTheme="minorHAnsi" w:cstheme="minorHAnsi"/>
          <w:color w:val="17365D" w:themeColor="text2" w:themeShade="BF"/>
          <w:sz w:val="24"/>
          <w:lang w:eastAsia="es-ES"/>
        </w:rPr>
        <w:t xml:space="preserve">ediana de </w:t>
      </w:r>
      <w:r w:rsidRPr="00EE1066">
        <w:rPr>
          <w:rFonts w:asciiTheme="minorHAnsi" w:eastAsia="Times New Roman" w:hAnsiTheme="minorHAnsi" w:cstheme="minorHAnsi"/>
          <w:color w:val="17365D" w:themeColor="text2" w:themeShade="BF"/>
          <w:sz w:val="24"/>
          <w:lang w:eastAsia="es-ES"/>
        </w:rPr>
        <w:t xml:space="preserve">edad </w:t>
      </w:r>
      <w:r w:rsidR="002525F9" w:rsidRPr="00EE1066">
        <w:rPr>
          <w:rFonts w:asciiTheme="minorHAnsi" w:eastAsia="Times New Roman" w:hAnsiTheme="minorHAnsi" w:cstheme="minorHAnsi"/>
          <w:color w:val="17365D" w:themeColor="text2" w:themeShade="BF"/>
          <w:sz w:val="24"/>
          <w:lang w:eastAsia="es-ES"/>
        </w:rPr>
        <w:t xml:space="preserve">de </w:t>
      </w:r>
      <w:r w:rsidRPr="00EE1066">
        <w:rPr>
          <w:rFonts w:asciiTheme="minorHAnsi" w:eastAsia="Times New Roman" w:hAnsiTheme="minorHAnsi" w:cstheme="minorHAnsi"/>
          <w:color w:val="17365D" w:themeColor="text2" w:themeShade="BF"/>
          <w:sz w:val="24"/>
          <w:lang w:eastAsia="es-ES"/>
        </w:rPr>
        <w:t>6</w:t>
      </w:r>
      <w:r w:rsidR="00E4650F">
        <w:rPr>
          <w:rFonts w:asciiTheme="minorHAnsi" w:eastAsia="Times New Roman" w:hAnsiTheme="minorHAnsi" w:cstheme="minorHAnsi"/>
          <w:color w:val="17365D" w:themeColor="text2" w:themeShade="BF"/>
          <w:sz w:val="24"/>
          <w:lang w:eastAsia="es-ES"/>
        </w:rPr>
        <w:t>5</w:t>
      </w:r>
      <w:r w:rsidRPr="00EE1066">
        <w:rPr>
          <w:rFonts w:asciiTheme="minorHAnsi" w:eastAsia="Times New Roman" w:hAnsiTheme="minorHAnsi" w:cstheme="minorHAnsi"/>
          <w:color w:val="17365D" w:themeColor="text2" w:themeShade="BF"/>
          <w:sz w:val="24"/>
          <w:lang w:eastAsia="es-ES"/>
        </w:rPr>
        <w:t xml:space="preserve"> años</w:t>
      </w:r>
      <w:r w:rsidR="002525F9" w:rsidRPr="00EE1066">
        <w:rPr>
          <w:rFonts w:asciiTheme="minorHAnsi" w:eastAsia="Times New Roman" w:hAnsiTheme="minorHAnsi" w:cstheme="minorHAnsi"/>
          <w:color w:val="17365D" w:themeColor="text2" w:themeShade="BF"/>
          <w:sz w:val="24"/>
          <w:lang w:eastAsia="es-ES"/>
        </w:rPr>
        <w:t xml:space="preserve"> (</w:t>
      </w:r>
      <w:r w:rsidRPr="00EE1066">
        <w:rPr>
          <w:rFonts w:asciiTheme="minorHAnsi" w:eastAsia="Times New Roman" w:hAnsiTheme="minorHAnsi" w:cstheme="minorHAnsi"/>
          <w:color w:val="17365D" w:themeColor="text2" w:themeShade="BF"/>
          <w:sz w:val="24"/>
          <w:lang w:eastAsia="es-ES"/>
        </w:rPr>
        <w:t>rango 4-88 años</w:t>
      </w:r>
      <w:r w:rsidR="002525F9" w:rsidRPr="00EE1066">
        <w:rPr>
          <w:rFonts w:asciiTheme="minorHAnsi" w:eastAsia="Times New Roman" w:hAnsiTheme="minorHAnsi" w:cstheme="minorHAnsi"/>
          <w:color w:val="17365D" w:themeColor="text2" w:themeShade="BF"/>
          <w:sz w:val="24"/>
          <w:lang w:eastAsia="es-ES"/>
        </w:rPr>
        <w:t>)</w:t>
      </w:r>
      <w:r w:rsidRPr="00EE1066">
        <w:rPr>
          <w:rFonts w:asciiTheme="minorHAnsi" w:eastAsia="Times New Roman" w:hAnsiTheme="minorHAnsi" w:cstheme="minorHAnsi"/>
          <w:color w:val="17365D" w:themeColor="text2" w:themeShade="BF"/>
          <w:sz w:val="24"/>
          <w:lang w:eastAsia="es-ES"/>
        </w:rPr>
        <w:t xml:space="preserve">. </w:t>
      </w:r>
    </w:p>
    <w:p w14:paraId="666DE503" w14:textId="4F3DEA05" w:rsidR="006F0DE9" w:rsidRPr="006F0DE9" w:rsidRDefault="006F0DE9" w:rsidP="006F0DE9">
      <w:pPr>
        <w:pStyle w:val="Prrafodelista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6F0DE9">
        <w:rPr>
          <w:rFonts w:asciiTheme="minorHAnsi" w:eastAsia="Times New Roman" w:hAnsiTheme="minorHAnsi" w:cstheme="minorHAnsi"/>
          <w:color w:val="17365D" w:themeColor="text2" w:themeShade="BF"/>
          <w:sz w:val="24"/>
          <w:lang w:eastAsia="es-ES"/>
        </w:rPr>
        <w:t xml:space="preserve">El 93,5% </w:t>
      </w:r>
      <w:r>
        <w:rPr>
          <w:rFonts w:asciiTheme="minorHAnsi" w:eastAsia="Times New Roman" w:hAnsiTheme="minorHAnsi" w:cstheme="minorHAnsi"/>
          <w:color w:val="17365D" w:themeColor="text2" w:themeShade="BF"/>
          <w:sz w:val="24"/>
          <w:lang w:eastAsia="es-ES"/>
        </w:rPr>
        <w:t>presentaron clínica</w:t>
      </w:r>
      <w:r w:rsidRPr="006F0DE9">
        <w:rPr>
          <w:rFonts w:asciiTheme="minorHAnsi" w:eastAsia="Times New Roman" w:hAnsiTheme="minorHAnsi" w:cstheme="minorHAnsi"/>
          <w:color w:val="17365D" w:themeColor="text2" w:themeShade="BF"/>
          <w:sz w:val="24"/>
          <w:lang w:eastAsia="es-ES"/>
        </w:rPr>
        <w:t xml:space="preserve"> neurológica y el 94,8% requ</w:t>
      </w:r>
      <w:r>
        <w:rPr>
          <w:rFonts w:asciiTheme="minorHAnsi" w:eastAsia="Times New Roman" w:hAnsiTheme="minorHAnsi" w:cstheme="minorHAnsi"/>
          <w:color w:val="17365D" w:themeColor="text2" w:themeShade="BF"/>
          <w:sz w:val="24"/>
          <w:lang w:eastAsia="es-ES"/>
        </w:rPr>
        <w:t>irieron</w:t>
      </w:r>
      <w:r w:rsidRPr="006F0DE9">
        <w:rPr>
          <w:rFonts w:asciiTheme="minorHAnsi" w:eastAsia="Times New Roman" w:hAnsiTheme="minorHAnsi" w:cstheme="minorHAnsi"/>
          <w:color w:val="17365D" w:themeColor="text2" w:themeShade="BF"/>
          <w:sz w:val="24"/>
          <w:lang w:eastAsia="es-ES"/>
        </w:rPr>
        <w:t xml:space="preserve"> hospitalización. </w:t>
      </w:r>
      <w:r>
        <w:rPr>
          <w:rFonts w:asciiTheme="minorHAnsi" w:eastAsia="Times New Roman" w:hAnsiTheme="minorHAnsi" w:cstheme="minorHAnsi"/>
          <w:color w:val="17365D" w:themeColor="text2" w:themeShade="BF"/>
          <w:sz w:val="24"/>
          <w:lang w:eastAsia="es-ES"/>
        </w:rPr>
        <w:t>Se produjeron 8 fallecimientos (10,4%).</w:t>
      </w:r>
    </w:p>
    <w:p w14:paraId="2E45802F" w14:textId="77777777" w:rsidR="00F566DF" w:rsidRPr="00010852" w:rsidRDefault="00F566DF" w:rsidP="00F566DF">
      <w:pPr>
        <w:pStyle w:val="Prrafodelista"/>
        <w:spacing w:after="0" w:line="360" w:lineRule="auto"/>
        <w:jc w:val="both"/>
        <w:rPr>
          <w:color w:val="17365D" w:themeColor="text2" w:themeShade="BF"/>
          <w:sz w:val="24"/>
          <w:szCs w:val="24"/>
        </w:rPr>
      </w:pPr>
    </w:p>
    <w:p w14:paraId="0915E0AF" w14:textId="0A28FA2C" w:rsidR="00B84F0E" w:rsidRPr="00010852" w:rsidRDefault="00E20945" w:rsidP="00010852">
      <w:pPr>
        <w:pStyle w:val="Prrafodelista"/>
        <w:numPr>
          <w:ilvl w:val="0"/>
          <w:numId w:val="2"/>
        </w:numPr>
        <w:spacing w:after="0" w:line="360" w:lineRule="auto"/>
        <w:jc w:val="both"/>
        <w:rPr>
          <w:color w:val="17365D" w:themeColor="text2" w:themeShade="BF"/>
          <w:sz w:val="24"/>
          <w:szCs w:val="24"/>
        </w:rPr>
      </w:pPr>
      <w:r w:rsidRPr="00010852">
        <w:rPr>
          <w:rFonts w:asciiTheme="minorHAnsi" w:eastAsia="Times New Roman" w:hAnsiTheme="minorHAnsi" w:cstheme="minorHAnsi"/>
          <w:color w:val="17365D" w:themeColor="text2" w:themeShade="BF"/>
          <w:sz w:val="24"/>
          <w:lang w:eastAsia="es-ES"/>
        </w:rPr>
        <w:lastRenderedPageBreak/>
        <w:t xml:space="preserve">El diagnóstico microbiológico se </w:t>
      </w:r>
      <w:r w:rsidR="00AD4A5E">
        <w:rPr>
          <w:rFonts w:asciiTheme="minorHAnsi" w:eastAsia="Times New Roman" w:hAnsiTheme="minorHAnsi" w:cstheme="minorHAnsi"/>
          <w:color w:val="17365D" w:themeColor="text2" w:themeShade="BF"/>
          <w:sz w:val="24"/>
          <w:lang w:eastAsia="es-ES"/>
        </w:rPr>
        <w:t>estableció</w:t>
      </w:r>
      <w:r w:rsidRPr="00010852">
        <w:rPr>
          <w:rFonts w:asciiTheme="minorHAnsi" w:eastAsia="Times New Roman" w:hAnsiTheme="minorHAnsi" w:cstheme="minorHAnsi"/>
          <w:color w:val="17365D" w:themeColor="text2" w:themeShade="BF"/>
          <w:sz w:val="24"/>
          <w:lang w:eastAsia="es-ES"/>
        </w:rPr>
        <w:t xml:space="preserve"> en los casos confirmados por detección de ácido nucleico del virus (PCR) en orina o en líquido cefalorraquídeo en 5 casos, y por detección de </w:t>
      </w:r>
      <w:proofErr w:type="spellStart"/>
      <w:r w:rsidRPr="00010852">
        <w:rPr>
          <w:rFonts w:asciiTheme="minorHAnsi" w:eastAsia="Times New Roman" w:hAnsiTheme="minorHAnsi" w:cstheme="minorHAnsi"/>
          <w:color w:val="17365D" w:themeColor="text2" w:themeShade="BF"/>
          <w:sz w:val="24"/>
          <w:lang w:eastAsia="es-ES"/>
        </w:rPr>
        <w:t>IgM</w:t>
      </w:r>
      <w:proofErr w:type="spellEnd"/>
      <w:r w:rsidRPr="00010852">
        <w:rPr>
          <w:rFonts w:asciiTheme="minorHAnsi" w:eastAsia="Times New Roman" w:hAnsiTheme="minorHAnsi" w:cstheme="minorHAnsi"/>
          <w:color w:val="17365D" w:themeColor="text2" w:themeShade="BF"/>
          <w:sz w:val="24"/>
          <w:lang w:eastAsia="es-ES"/>
        </w:rPr>
        <w:t xml:space="preserve"> en líquido cefalorraquídeo en los 3</w:t>
      </w:r>
      <w:r w:rsidR="005E6643">
        <w:rPr>
          <w:rFonts w:asciiTheme="minorHAnsi" w:eastAsia="Times New Roman" w:hAnsiTheme="minorHAnsi" w:cstheme="minorHAnsi"/>
          <w:color w:val="17365D" w:themeColor="text2" w:themeShade="BF"/>
          <w:sz w:val="24"/>
          <w:lang w:eastAsia="es-ES"/>
        </w:rPr>
        <w:t>5</w:t>
      </w:r>
      <w:r w:rsidRPr="00010852">
        <w:rPr>
          <w:rFonts w:asciiTheme="minorHAnsi" w:eastAsia="Times New Roman" w:hAnsiTheme="minorHAnsi" w:cstheme="minorHAnsi"/>
          <w:color w:val="17365D" w:themeColor="text2" w:themeShade="BF"/>
          <w:sz w:val="24"/>
          <w:lang w:eastAsia="es-ES"/>
        </w:rPr>
        <w:t xml:space="preserve"> restantes. Todos los casos probables (35) </w:t>
      </w:r>
      <w:r w:rsidR="00AD4A5E">
        <w:rPr>
          <w:rFonts w:asciiTheme="minorHAnsi" w:eastAsia="Times New Roman" w:hAnsiTheme="minorHAnsi" w:cstheme="minorHAnsi"/>
          <w:color w:val="17365D" w:themeColor="text2" w:themeShade="BF"/>
          <w:sz w:val="24"/>
          <w:lang w:eastAsia="es-ES"/>
        </w:rPr>
        <w:t>fueron</w:t>
      </w:r>
      <w:r w:rsidRPr="00010852">
        <w:rPr>
          <w:rFonts w:asciiTheme="minorHAnsi" w:eastAsia="Times New Roman" w:hAnsiTheme="minorHAnsi" w:cstheme="minorHAnsi"/>
          <w:color w:val="17365D" w:themeColor="text2" w:themeShade="BF"/>
          <w:sz w:val="24"/>
          <w:lang w:eastAsia="es-ES"/>
        </w:rPr>
        <w:t xml:space="preserve"> diagnosticados por serología positiva (</w:t>
      </w:r>
      <w:proofErr w:type="spellStart"/>
      <w:r w:rsidRPr="00010852">
        <w:rPr>
          <w:rFonts w:asciiTheme="minorHAnsi" w:eastAsia="Times New Roman" w:hAnsiTheme="minorHAnsi" w:cstheme="minorHAnsi"/>
          <w:color w:val="17365D" w:themeColor="text2" w:themeShade="BF"/>
          <w:sz w:val="24"/>
          <w:lang w:eastAsia="es-ES"/>
        </w:rPr>
        <w:t>IgM</w:t>
      </w:r>
      <w:proofErr w:type="spellEnd"/>
      <w:r w:rsidRPr="00010852">
        <w:rPr>
          <w:rFonts w:asciiTheme="minorHAnsi" w:eastAsia="Times New Roman" w:hAnsiTheme="minorHAnsi" w:cstheme="minorHAnsi"/>
          <w:color w:val="17365D" w:themeColor="text2" w:themeShade="BF"/>
          <w:sz w:val="24"/>
          <w:lang w:eastAsia="es-ES"/>
        </w:rPr>
        <w:t xml:space="preserve">) en sangre o suero. </w:t>
      </w:r>
    </w:p>
    <w:p w14:paraId="1C36F4C6" w14:textId="0BBF41F8" w:rsidR="00FC39ED" w:rsidRDefault="00081C8E" w:rsidP="00FC39ED">
      <w:pPr>
        <w:spacing w:after="0" w:line="360" w:lineRule="auto"/>
        <w:jc w:val="both"/>
        <w:rPr>
          <w:rStyle w:val="tlid-translation"/>
          <w:color w:val="17365D" w:themeColor="text2" w:themeShade="BF"/>
          <w:sz w:val="24"/>
          <w:szCs w:val="24"/>
        </w:rPr>
      </w:pPr>
      <w:r w:rsidRPr="00BA42BE">
        <w:rPr>
          <w:rStyle w:val="tlid-translation"/>
          <w:color w:val="17365D" w:themeColor="text2" w:themeShade="BF"/>
          <w:sz w:val="24"/>
          <w:szCs w:val="24"/>
        </w:rPr>
        <w:t>E</w:t>
      </w:r>
      <w:r w:rsidR="005E6643">
        <w:rPr>
          <w:rStyle w:val="tlid-translation"/>
          <w:color w:val="17365D" w:themeColor="text2" w:themeShade="BF"/>
          <w:sz w:val="24"/>
          <w:szCs w:val="24"/>
        </w:rPr>
        <w:t xml:space="preserve">ste </w:t>
      </w:r>
      <w:r w:rsidR="00725CF5">
        <w:rPr>
          <w:rStyle w:val="tlid-translation"/>
          <w:color w:val="17365D" w:themeColor="text2" w:themeShade="BF"/>
          <w:sz w:val="24"/>
          <w:szCs w:val="24"/>
        </w:rPr>
        <w:t xml:space="preserve">brote </w:t>
      </w:r>
      <w:r w:rsidR="005E6643">
        <w:rPr>
          <w:rStyle w:val="tlid-translation"/>
          <w:color w:val="17365D" w:themeColor="text2" w:themeShade="BF"/>
          <w:sz w:val="24"/>
          <w:szCs w:val="24"/>
        </w:rPr>
        <w:t>ha sido</w:t>
      </w:r>
      <w:r w:rsidR="00725CF5">
        <w:rPr>
          <w:rStyle w:val="tlid-translation"/>
          <w:color w:val="17365D" w:themeColor="text2" w:themeShade="BF"/>
          <w:sz w:val="24"/>
          <w:szCs w:val="24"/>
        </w:rPr>
        <w:t xml:space="preserve"> </w:t>
      </w:r>
      <w:r w:rsidRPr="00BA42BE">
        <w:rPr>
          <w:rStyle w:val="tlid-translation"/>
          <w:color w:val="17365D" w:themeColor="text2" w:themeShade="BF"/>
          <w:sz w:val="24"/>
          <w:szCs w:val="24"/>
        </w:rPr>
        <w:t>el primer</w:t>
      </w:r>
      <w:r w:rsidR="00725CF5">
        <w:rPr>
          <w:rStyle w:val="tlid-translation"/>
          <w:color w:val="17365D" w:themeColor="text2" w:themeShade="BF"/>
          <w:sz w:val="24"/>
          <w:szCs w:val="24"/>
        </w:rPr>
        <w:t>o</w:t>
      </w:r>
      <w:r w:rsidRPr="00BA42BE">
        <w:rPr>
          <w:rStyle w:val="tlid-translation"/>
          <w:color w:val="17365D" w:themeColor="text2" w:themeShade="BF"/>
          <w:sz w:val="24"/>
          <w:szCs w:val="24"/>
        </w:rPr>
        <w:t xml:space="preserve"> de meningoencefalitis del Nilo Occidental experimentado en nuestro país.</w:t>
      </w:r>
      <w:r w:rsidR="00725CF5">
        <w:rPr>
          <w:rStyle w:val="tlid-translation"/>
          <w:color w:val="17365D" w:themeColor="text2" w:themeShade="BF"/>
          <w:sz w:val="24"/>
          <w:szCs w:val="24"/>
        </w:rPr>
        <w:t xml:space="preserve"> </w:t>
      </w:r>
      <w:r w:rsidR="00FC39ED" w:rsidRPr="00BA42BE">
        <w:rPr>
          <w:rStyle w:val="tlid-translation"/>
          <w:color w:val="17365D" w:themeColor="text2" w:themeShade="BF"/>
          <w:sz w:val="24"/>
          <w:szCs w:val="24"/>
        </w:rPr>
        <w:t>Hasta el momento, en España s</w:t>
      </w:r>
      <w:r w:rsidR="00FC39ED">
        <w:rPr>
          <w:rStyle w:val="tlid-translation"/>
          <w:color w:val="17365D" w:themeColor="text2" w:themeShade="BF"/>
          <w:sz w:val="24"/>
          <w:szCs w:val="24"/>
        </w:rPr>
        <w:t>ó</w:t>
      </w:r>
      <w:r w:rsidR="00FC39ED" w:rsidRPr="00BA42BE">
        <w:rPr>
          <w:rStyle w:val="tlid-translation"/>
          <w:color w:val="17365D" w:themeColor="text2" w:themeShade="BF"/>
          <w:sz w:val="24"/>
          <w:szCs w:val="24"/>
        </w:rPr>
        <w:t xml:space="preserve">lo se habían detectado </w:t>
      </w:r>
      <w:r w:rsidR="007B75C4">
        <w:rPr>
          <w:rStyle w:val="tlid-translation"/>
          <w:color w:val="17365D" w:themeColor="text2" w:themeShade="BF"/>
          <w:sz w:val="24"/>
          <w:szCs w:val="24"/>
        </w:rPr>
        <w:t>6</w:t>
      </w:r>
      <w:r w:rsidR="00FC39ED">
        <w:rPr>
          <w:rStyle w:val="tlid-translation"/>
          <w:color w:val="17365D" w:themeColor="text2" w:themeShade="BF"/>
          <w:sz w:val="24"/>
          <w:szCs w:val="24"/>
        </w:rPr>
        <w:t xml:space="preserve"> </w:t>
      </w:r>
      <w:r w:rsidR="00FC39ED" w:rsidRPr="00BA42BE">
        <w:rPr>
          <w:rStyle w:val="tlid-translation"/>
          <w:color w:val="17365D" w:themeColor="text2" w:themeShade="BF"/>
          <w:sz w:val="24"/>
          <w:szCs w:val="24"/>
        </w:rPr>
        <w:t xml:space="preserve">casos esporádicos </w:t>
      </w:r>
      <w:r w:rsidR="00FC39ED">
        <w:rPr>
          <w:rStyle w:val="tlid-translation"/>
          <w:color w:val="17365D" w:themeColor="text2" w:themeShade="BF"/>
          <w:sz w:val="24"/>
          <w:szCs w:val="24"/>
        </w:rPr>
        <w:t xml:space="preserve">de infección por el VNO </w:t>
      </w:r>
      <w:r w:rsidR="00FC39ED" w:rsidRPr="00BA42BE">
        <w:rPr>
          <w:rStyle w:val="tlid-translation"/>
          <w:color w:val="17365D" w:themeColor="text2" w:themeShade="BF"/>
          <w:sz w:val="24"/>
          <w:szCs w:val="24"/>
        </w:rPr>
        <w:t>en humanos</w:t>
      </w:r>
      <w:r w:rsidR="00FC39ED">
        <w:rPr>
          <w:rStyle w:val="tlid-translation"/>
          <w:color w:val="17365D" w:themeColor="text2" w:themeShade="BF"/>
          <w:sz w:val="24"/>
          <w:szCs w:val="24"/>
        </w:rPr>
        <w:t>,</w:t>
      </w:r>
      <w:r w:rsidR="00FC39ED" w:rsidRPr="00BA42BE">
        <w:rPr>
          <w:rStyle w:val="tlid-translation"/>
          <w:color w:val="17365D" w:themeColor="text2" w:themeShade="BF"/>
          <w:sz w:val="24"/>
          <w:szCs w:val="24"/>
        </w:rPr>
        <w:t xml:space="preserve"> </w:t>
      </w:r>
      <w:r w:rsidR="00FC39ED">
        <w:rPr>
          <w:rStyle w:val="tlid-translation"/>
          <w:color w:val="17365D" w:themeColor="text2" w:themeShade="BF"/>
          <w:sz w:val="24"/>
          <w:szCs w:val="24"/>
        </w:rPr>
        <w:t>entre los años 2010 y 2020</w:t>
      </w:r>
      <w:r w:rsidR="00FC39ED" w:rsidRPr="00BA42BE">
        <w:rPr>
          <w:rStyle w:val="tlid-translation"/>
          <w:color w:val="17365D" w:themeColor="text2" w:themeShade="BF"/>
          <w:sz w:val="24"/>
          <w:szCs w:val="24"/>
        </w:rPr>
        <w:t xml:space="preserve">. </w:t>
      </w:r>
    </w:p>
    <w:p w14:paraId="3D1BE5DF" w14:textId="77777777" w:rsidR="00F566DF" w:rsidRDefault="00F566DF" w:rsidP="00FC39ED">
      <w:pPr>
        <w:spacing w:after="0" w:line="360" w:lineRule="auto"/>
        <w:jc w:val="both"/>
        <w:rPr>
          <w:rStyle w:val="tlid-translation"/>
          <w:color w:val="17365D" w:themeColor="text2" w:themeShade="BF"/>
          <w:sz w:val="24"/>
          <w:szCs w:val="24"/>
        </w:rPr>
      </w:pPr>
    </w:p>
    <w:p w14:paraId="388000F9" w14:textId="7548B4E8" w:rsidR="005E6643" w:rsidRPr="00BA42BE" w:rsidRDefault="00AD4A5E" w:rsidP="00AD4A5E">
      <w:pPr>
        <w:pStyle w:val="Default"/>
        <w:spacing w:line="360" w:lineRule="auto"/>
        <w:jc w:val="both"/>
        <w:rPr>
          <w:rFonts w:asciiTheme="minorHAnsi" w:hAnsiTheme="minorHAnsi"/>
          <w:color w:val="17365D" w:themeColor="text2" w:themeShade="BF"/>
        </w:rPr>
      </w:pPr>
      <w:r>
        <w:rPr>
          <w:rFonts w:asciiTheme="minorHAnsi" w:hAnsiTheme="minorHAnsi"/>
          <w:color w:val="17365D" w:themeColor="text2" w:themeShade="BF"/>
        </w:rPr>
        <w:t xml:space="preserve">Tras el </w:t>
      </w:r>
      <w:r w:rsidRPr="0057533F">
        <w:rPr>
          <w:rFonts w:asciiTheme="minorHAnsi" w:hAnsiTheme="minorHAnsi"/>
          <w:color w:val="17365D" w:themeColor="text2" w:themeShade="BF"/>
        </w:rPr>
        <w:t>inicio de la temporada de vigilancia 2021, e</w:t>
      </w:r>
      <w:r w:rsidR="005E6643" w:rsidRPr="0057533F">
        <w:rPr>
          <w:rFonts w:asciiTheme="minorHAnsi" w:hAnsiTheme="minorHAnsi"/>
          <w:color w:val="17365D" w:themeColor="text2" w:themeShade="BF"/>
        </w:rPr>
        <w:t>l 16/6/2021, desde la  Dirección General de Salud Pública y Ordenación Farmacéutica</w:t>
      </w:r>
      <w:r w:rsidRPr="0057533F">
        <w:rPr>
          <w:rFonts w:asciiTheme="minorHAnsi" w:hAnsiTheme="minorHAnsi"/>
          <w:color w:val="17365D" w:themeColor="text2" w:themeShade="BF"/>
        </w:rPr>
        <w:t xml:space="preserve"> </w:t>
      </w:r>
      <w:r w:rsidR="002008C2">
        <w:rPr>
          <w:rFonts w:asciiTheme="minorHAnsi" w:hAnsiTheme="minorHAnsi"/>
          <w:color w:val="17365D" w:themeColor="text2" w:themeShade="BF"/>
        </w:rPr>
        <w:t xml:space="preserve">de la </w:t>
      </w:r>
      <w:r w:rsidR="005E6643" w:rsidRPr="0057533F">
        <w:rPr>
          <w:rFonts w:asciiTheme="minorHAnsi" w:hAnsiTheme="minorHAnsi"/>
          <w:color w:val="17365D" w:themeColor="text2" w:themeShade="BF"/>
        </w:rPr>
        <w:t xml:space="preserve">Consejería de Salud y Familias de la Junta de Andalucía se ha informado del primer caso confirmado </w:t>
      </w:r>
      <w:r w:rsidRPr="0057533F">
        <w:rPr>
          <w:rFonts w:asciiTheme="minorHAnsi" w:hAnsiTheme="minorHAnsi"/>
          <w:color w:val="17365D" w:themeColor="text2" w:themeShade="BF"/>
        </w:rPr>
        <w:t xml:space="preserve">de VNO en la provincia de Sevilla </w:t>
      </w:r>
      <w:r w:rsidR="005E6643" w:rsidRPr="0057533F">
        <w:rPr>
          <w:rFonts w:asciiTheme="minorHAnsi" w:hAnsiTheme="minorHAnsi"/>
          <w:color w:val="17365D" w:themeColor="text2" w:themeShade="BF"/>
        </w:rPr>
        <w:t>(</w:t>
      </w:r>
      <w:proofErr w:type="spellStart"/>
      <w:r w:rsidR="005E6643" w:rsidRPr="0057533F">
        <w:rPr>
          <w:rFonts w:asciiTheme="minorHAnsi" w:hAnsiTheme="minorHAnsi"/>
          <w:color w:val="17365D" w:themeColor="text2" w:themeShade="BF"/>
        </w:rPr>
        <w:t>IgM</w:t>
      </w:r>
      <w:proofErr w:type="spellEnd"/>
      <w:r w:rsidR="005E6643" w:rsidRPr="0057533F">
        <w:rPr>
          <w:rFonts w:asciiTheme="minorHAnsi" w:hAnsiTheme="minorHAnsi"/>
          <w:color w:val="17365D" w:themeColor="text2" w:themeShade="BF"/>
        </w:rPr>
        <w:t xml:space="preserve"> positiva en LCR y suero, PCR negativa</w:t>
      </w:r>
      <w:r w:rsidR="0057533F">
        <w:rPr>
          <w:rFonts w:asciiTheme="minorHAnsi" w:hAnsiTheme="minorHAnsi"/>
          <w:color w:val="17365D" w:themeColor="text2" w:themeShade="BF"/>
        </w:rPr>
        <w:t xml:space="preserve"> en orina</w:t>
      </w:r>
      <w:r w:rsidR="005E6643" w:rsidRPr="0057533F">
        <w:rPr>
          <w:rFonts w:asciiTheme="minorHAnsi" w:hAnsiTheme="minorHAnsi"/>
          <w:color w:val="17365D" w:themeColor="text2" w:themeShade="BF"/>
        </w:rPr>
        <w:t>, pendiente de pruebas</w:t>
      </w:r>
      <w:r w:rsidR="0057533F" w:rsidRPr="0057533F">
        <w:rPr>
          <w:rFonts w:asciiTheme="minorHAnsi" w:hAnsiTheme="minorHAnsi"/>
          <w:color w:val="17365D" w:themeColor="text2" w:themeShade="BF"/>
        </w:rPr>
        <w:t xml:space="preserve"> del </w:t>
      </w:r>
      <w:r w:rsidR="002008C2">
        <w:rPr>
          <w:rFonts w:asciiTheme="minorHAnsi" w:hAnsiTheme="minorHAnsi"/>
          <w:color w:val="17365D" w:themeColor="text2" w:themeShade="BF"/>
        </w:rPr>
        <w:t>l</w:t>
      </w:r>
      <w:r w:rsidR="0057533F" w:rsidRPr="0057533F">
        <w:rPr>
          <w:rFonts w:asciiTheme="minorHAnsi" w:hAnsiTheme="minorHAnsi"/>
          <w:color w:val="17365D" w:themeColor="text2" w:themeShade="BF"/>
        </w:rPr>
        <w:t>aboratorio de referencia de virus</w:t>
      </w:r>
      <w:r w:rsidR="005E6643" w:rsidRPr="0057533F">
        <w:rPr>
          <w:rFonts w:asciiTheme="minorHAnsi" w:hAnsiTheme="minorHAnsi"/>
          <w:color w:val="17365D" w:themeColor="text2" w:themeShade="BF"/>
        </w:rPr>
        <w:t>)</w:t>
      </w:r>
      <w:r w:rsidR="0057533F" w:rsidRPr="0057533F">
        <w:rPr>
          <w:rFonts w:asciiTheme="minorHAnsi" w:hAnsiTheme="minorHAnsi"/>
          <w:color w:val="17365D" w:themeColor="text2" w:themeShade="BF"/>
        </w:rPr>
        <w:t>.</w:t>
      </w:r>
      <w:r w:rsidR="005E6643">
        <w:rPr>
          <w:rFonts w:asciiTheme="minorHAnsi" w:hAnsiTheme="minorHAnsi"/>
          <w:color w:val="17365D" w:themeColor="text2" w:themeShade="BF"/>
        </w:rPr>
        <w:t xml:space="preserve"> </w:t>
      </w:r>
    </w:p>
    <w:p w14:paraId="76205683" w14:textId="77777777" w:rsidR="005E6643" w:rsidRDefault="005E6643" w:rsidP="00FC39ED">
      <w:pPr>
        <w:spacing w:after="0" w:line="360" w:lineRule="auto"/>
        <w:jc w:val="both"/>
        <w:rPr>
          <w:rStyle w:val="tlid-translation"/>
          <w:color w:val="17365D" w:themeColor="text2" w:themeShade="BF"/>
          <w:sz w:val="24"/>
          <w:szCs w:val="24"/>
        </w:rPr>
      </w:pPr>
    </w:p>
    <w:p w14:paraId="3AC4554D" w14:textId="13B1E392" w:rsidR="004366E3" w:rsidRPr="00BA42BE" w:rsidRDefault="004366E3" w:rsidP="00E12247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17365D" w:themeColor="text2" w:themeShade="BF"/>
        </w:rPr>
      </w:pPr>
      <w:r w:rsidRPr="00BA42BE">
        <w:rPr>
          <w:rFonts w:asciiTheme="minorHAnsi" w:hAnsiTheme="minorHAnsi" w:cstheme="minorHAnsi"/>
          <w:b/>
          <w:color w:val="17365D" w:themeColor="text2" w:themeShade="BF"/>
        </w:rPr>
        <w:t>EUROPA</w:t>
      </w:r>
    </w:p>
    <w:p w14:paraId="54B2F523" w14:textId="6AC4E38F" w:rsidR="00C72590" w:rsidRPr="00BA42BE" w:rsidRDefault="0087238B" w:rsidP="001A23C2">
      <w:pPr>
        <w:pStyle w:val="Default"/>
        <w:spacing w:line="360" w:lineRule="auto"/>
        <w:jc w:val="both"/>
        <w:rPr>
          <w:rFonts w:asciiTheme="minorHAnsi" w:hAnsiTheme="minorHAnsi" w:cstheme="minorHAnsi"/>
          <w:color w:val="17365D" w:themeColor="text2" w:themeShade="BF"/>
        </w:rPr>
      </w:pPr>
      <w:r w:rsidRPr="00BA42BE">
        <w:rPr>
          <w:rFonts w:asciiTheme="minorHAnsi" w:hAnsiTheme="minorHAnsi" w:cstheme="minorHAnsi"/>
          <w:color w:val="17365D" w:themeColor="text2" w:themeShade="BF"/>
        </w:rPr>
        <w:t xml:space="preserve">Según los datos publicados por el </w:t>
      </w:r>
      <w:r w:rsidR="001A23C2" w:rsidRPr="00BA42BE">
        <w:rPr>
          <w:rFonts w:asciiTheme="minorHAnsi" w:hAnsiTheme="minorHAnsi"/>
          <w:color w:val="17365D" w:themeColor="text2" w:themeShade="BF"/>
        </w:rPr>
        <w:t>Centro Europeo para la Prevención y el Control de Enfermedades</w:t>
      </w:r>
      <w:r w:rsidR="001A23C2" w:rsidRPr="00BA42BE">
        <w:rPr>
          <w:rFonts w:asciiTheme="minorHAnsi" w:hAnsiTheme="minorHAnsi"/>
          <w:i/>
          <w:color w:val="17365D" w:themeColor="text2" w:themeShade="BF"/>
        </w:rPr>
        <w:t xml:space="preserve"> </w:t>
      </w:r>
      <w:r w:rsidR="001A23C2" w:rsidRPr="00BA42BE">
        <w:rPr>
          <w:rFonts w:asciiTheme="minorHAnsi" w:hAnsiTheme="minorHAnsi"/>
          <w:color w:val="17365D" w:themeColor="text2" w:themeShade="BF"/>
        </w:rPr>
        <w:t>(ECDC, por sus siglas en inglés)</w:t>
      </w:r>
      <w:r w:rsidR="00E12247" w:rsidRPr="00BA42BE">
        <w:rPr>
          <w:rFonts w:asciiTheme="minorHAnsi" w:hAnsiTheme="minorHAnsi" w:cstheme="minorHAnsi"/>
          <w:color w:val="17365D" w:themeColor="text2" w:themeShade="BF"/>
        </w:rPr>
        <w:t xml:space="preserve"> </w:t>
      </w:r>
      <w:r w:rsidRPr="00BA42BE">
        <w:rPr>
          <w:rFonts w:asciiTheme="minorHAnsi" w:hAnsiTheme="minorHAnsi" w:cstheme="minorHAnsi"/>
          <w:color w:val="17365D" w:themeColor="text2" w:themeShade="BF"/>
        </w:rPr>
        <w:t>(</w:t>
      </w:r>
      <w:r w:rsidR="00C72590" w:rsidRPr="00C72590">
        <w:rPr>
          <w:rStyle w:val="Hipervnculo"/>
          <w:rFonts w:asciiTheme="minorHAnsi" w:hAnsiTheme="minorHAnsi"/>
        </w:rPr>
        <w:t>https://www.ecdc.europa.eu/en/west-nile-virus-infection</w:t>
      </w:r>
      <w:r w:rsidRPr="00BA42BE">
        <w:rPr>
          <w:rFonts w:asciiTheme="minorHAnsi" w:hAnsiTheme="minorHAnsi" w:cstheme="minorHAnsi"/>
          <w:color w:val="17365D" w:themeColor="text2" w:themeShade="BF"/>
        </w:rPr>
        <w:t xml:space="preserve">), en 2020, desde el inicio de la temporada de transmisión </w:t>
      </w:r>
      <w:r w:rsidR="00A30E38">
        <w:rPr>
          <w:rFonts w:asciiTheme="minorHAnsi" w:hAnsiTheme="minorHAnsi" w:cstheme="minorHAnsi"/>
          <w:color w:val="17365D" w:themeColor="text2" w:themeShade="BF"/>
        </w:rPr>
        <w:t xml:space="preserve">se reportaron 316 casos </w:t>
      </w:r>
      <w:r w:rsidRPr="00BA42BE">
        <w:rPr>
          <w:rFonts w:asciiTheme="minorHAnsi" w:hAnsiTheme="minorHAnsi" w:cstheme="minorHAnsi"/>
          <w:color w:val="17365D" w:themeColor="text2" w:themeShade="BF"/>
        </w:rPr>
        <w:t xml:space="preserve">de infección por VNO en humanos </w:t>
      </w:r>
      <w:r w:rsidR="0054764D">
        <w:rPr>
          <w:rFonts w:asciiTheme="minorHAnsi" w:hAnsiTheme="minorHAnsi" w:cstheme="minorHAnsi"/>
          <w:color w:val="17365D" w:themeColor="text2" w:themeShade="BF"/>
        </w:rPr>
        <w:t xml:space="preserve">y </w:t>
      </w:r>
      <w:r w:rsidR="00A30E38">
        <w:rPr>
          <w:rFonts w:asciiTheme="minorHAnsi" w:hAnsiTheme="minorHAnsi" w:cstheme="minorHAnsi"/>
          <w:color w:val="17365D" w:themeColor="text2" w:themeShade="BF"/>
        </w:rPr>
        <w:t>3</w:t>
      </w:r>
      <w:r w:rsidR="00C72590">
        <w:rPr>
          <w:rFonts w:asciiTheme="minorHAnsi" w:hAnsiTheme="minorHAnsi" w:cstheme="minorHAnsi"/>
          <w:color w:val="17365D" w:themeColor="text2" w:themeShade="BF"/>
        </w:rPr>
        <w:t>8</w:t>
      </w:r>
      <w:r w:rsidR="0054764D">
        <w:rPr>
          <w:rFonts w:asciiTheme="minorHAnsi" w:hAnsiTheme="minorHAnsi" w:cstheme="minorHAnsi"/>
          <w:color w:val="17365D" w:themeColor="text2" w:themeShade="BF"/>
        </w:rPr>
        <w:t xml:space="preserve"> fallecimientos </w:t>
      </w:r>
      <w:r w:rsidR="00725CF5">
        <w:rPr>
          <w:rFonts w:asciiTheme="minorHAnsi" w:hAnsiTheme="minorHAnsi" w:cstheme="minorHAnsi"/>
          <w:color w:val="17365D" w:themeColor="text2" w:themeShade="BF"/>
        </w:rPr>
        <w:t>en países de la Unión Europea</w:t>
      </w:r>
      <w:r w:rsidR="00CE1DAC">
        <w:rPr>
          <w:rFonts w:asciiTheme="minorHAnsi" w:hAnsiTheme="minorHAnsi" w:cstheme="minorHAnsi"/>
          <w:color w:val="17365D" w:themeColor="text2" w:themeShade="BF"/>
        </w:rPr>
        <w:t xml:space="preserve"> (UE)</w:t>
      </w:r>
      <w:r w:rsidR="00A30E38">
        <w:rPr>
          <w:rFonts w:asciiTheme="minorHAnsi" w:hAnsiTheme="minorHAnsi" w:cstheme="minorHAnsi"/>
          <w:color w:val="17365D" w:themeColor="text2" w:themeShade="BF"/>
        </w:rPr>
        <w:t xml:space="preserve">, Área Económica Europea y países vecinos, </w:t>
      </w:r>
      <w:r w:rsidRPr="00BA42BE">
        <w:rPr>
          <w:rFonts w:asciiTheme="minorHAnsi" w:hAnsiTheme="minorHAnsi" w:cstheme="minorHAnsi"/>
          <w:color w:val="17365D" w:themeColor="text2" w:themeShade="BF"/>
        </w:rPr>
        <w:t>con la siguiente distribución:</w:t>
      </w:r>
    </w:p>
    <w:tbl>
      <w:tblPr>
        <w:tblStyle w:val="Tabladecuadrcula7concolores-nfasis11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2410"/>
        <w:gridCol w:w="3118"/>
      </w:tblGrid>
      <w:tr w:rsidR="00BA42BE" w:rsidRPr="00EE1066" w14:paraId="32D4F480" w14:textId="77777777" w:rsidTr="00EE10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51" w:type="dxa"/>
          </w:tcPr>
          <w:p w14:paraId="30639400" w14:textId="4FEE00C7" w:rsidR="00F374A5" w:rsidRPr="00EE1066" w:rsidRDefault="00F374A5" w:rsidP="00F374A5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b w:val="0"/>
                <w:i w:val="0"/>
                <w:color w:val="17365D" w:themeColor="text2" w:themeShade="BF"/>
              </w:rPr>
            </w:pPr>
            <w:r w:rsidRPr="00EE1066">
              <w:rPr>
                <w:rFonts w:asciiTheme="minorHAnsi" w:hAnsiTheme="minorHAnsi" w:cstheme="minorHAnsi"/>
                <w:i w:val="0"/>
                <w:color w:val="17365D" w:themeColor="text2" w:themeShade="BF"/>
              </w:rPr>
              <w:t>PAÍS</w:t>
            </w:r>
          </w:p>
        </w:tc>
        <w:tc>
          <w:tcPr>
            <w:tcW w:w="2410" w:type="dxa"/>
          </w:tcPr>
          <w:p w14:paraId="7731A421" w14:textId="470F64FD" w:rsidR="00F374A5" w:rsidRPr="00EE1066" w:rsidRDefault="00F374A5" w:rsidP="00F374A5">
            <w:pPr>
              <w:pStyle w:val="Default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17365D" w:themeColor="text2" w:themeShade="BF"/>
              </w:rPr>
            </w:pPr>
            <w:r w:rsidRPr="00EE1066">
              <w:rPr>
                <w:rFonts w:asciiTheme="minorHAnsi" w:hAnsiTheme="minorHAnsi" w:cstheme="minorHAnsi"/>
                <w:color w:val="17365D" w:themeColor="text2" w:themeShade="BF"/>
              </w:rPr>
              <w:t>NÚMERO DE CASOS</w:t>
            </w:r>
          </w:p>
        </w:tc>
        <w:tc>
          <w:tcPr>
            <w:tcW w:w="3118" w:type="dxa"/>
          </w:tcPr>
          <w:p w14:paraId="467287EA" w14:textId="34A21CB2" w:rsidR="00F374A5" w:rsidRPr="00EE1066" w:rsidRDefault="00F374A5" w:rsidP="00F374A5">
            <w:pPr>
              <w:pStyle w:val="Default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17365D" w:themeColor="text2" w:themeShade="BF"/>
              </w:rPr>
            </w:pPr>
            <w:r w:rsidRPr="00EE1066">
              <w:rPr>
                <w:rFonts w:asciiTheme="minorHAnsi" w:hAnsiTheme="minorHAnsi" w:cstheme="minorHAnsi"/>
                <w:color w:val="17365D" w:themeColor="text2" w:themeShade="BF"/>
              </w:rPr>
              <w:t>FALLECIMIENTOS</w:t>
            </w:r>
          </w:p>
        </w:tc>
      </w:tr>
      <w:tr w:rsidR="00BA42BE" w:rsidRPr="00EE1066" w14:paraId="576C2F37" w14:textId="77777777" w:rsidTr="00A30E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2EB499D5" w14:textId="4A33A9E3" w:rsidR="00F374A5" w:rsidRPr="00EE1066" w:rsidRDefault="00F374A5" w:rsidP="0087238B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i w:val="0"/>
                <w:color w:val="17365D" w:themeColor="text2" w:themeShade="BF"/>
              </w:rPr>
            </w:pPr>
            <w:r w:rsidRPr="00EE1066">
              <w:rPr>
                <w:rFonts w:asciiTheme="minorHAnsi" w:hAnsiTheme="minorHAnsi" w:cstheme="minorHAnsi"/>
                <w:i w:val="0"/>
                <w:color w:val="17365D" w:themeColor="text2" w:themeShade="BF"/>
              </w:rPr>
              <w:t>Grecia</w:t>
            </w:r>
          </w:p>
        </w:tc>
        <w:tc>
          <w:tcPr>
            <w:tcW w:w="2410" w:type="dxa"/>
            <w:shd w:val="clear" w:color="auto" w:fill="auto"/>
          </w:tcPr>
          <w:p w14:paraId="617E5738" w14:textId="40E755CB" w:rsidR="00F374A5" w:rsidRPr="00EE1066" w:rsidRDefault="00C72590" w:rsidP="00C72590">
            <w:pPr>
              <w:pStyle w:val="Default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17365D" w:themeColor="text2" w:themeShade="BF"/>
              </w:rPr>
            </w:pPr>
            <w:r>
              <w:rPr>
                <w:rFonts w:asciiTheme="minorHAnsi" w:hAnsiTheme="minorHAnsi" w:cstheme="minorHAnsi"/>
                <w:color w:val="17365D" w:themeColor="text2" w:themeShade="BF"/>
              </w:rPr>
              <w:t>1</w:t>
            </w:r>
            <w:r w:rsidR="00A30E38">
              <w:rPr>
                <w:rFonts w:asciiTheme="minorHAnsi" w:hAnsiTheme="minorHAnsi" w:cstheme="minorHAnsi"/>
                <w:color w:val="17365D" w:themeColor="text2" w:themeShade="BF"/>
              </w:rPr>
              <w:t>43</w:t>
            </w:r>
          </w:p>
        </w:tc>
        <w:tc>
          <w:tcPr>
            <w:tcW w:w="3118" w:type="dxa"/>
            <w:shd w:val="clear" w:color="auto" w:fill="auto"/>
          </w:tcPr>
          <w:p w14:paraId="46E4ED30" w14:textId="124DBBF4" w:rsidR="00F374A5" w:rsidRPr="00EE1066" w:rsidRDefault="00A30E38" w:rsidP="00F374A5">
            <w:pPr>
              <w:pStyle w:val="Default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17365D" w:themeColor="text2" w:themeShade="BF"/>
              </w:rPr>
            </w:pPr>
            <w:r>
              <w:rPr>
                <w:rFonts w:asciiTheme="minorHAnsi" w:hAnsiTheme="minorHAnsi" w:cstheme="minorHAnsi"/>
                <w:color w:val="17365D" w:themeColor="text2" w:themeShade="BF"/>
              </w:rPr>
              <w:t>23</w:t>
            </w:r>
          </w:p>
        </w:tc>
      </w:tr>
      <w:tr w:rsidR="008A72DF" w:rsidRPr="00EE1066" w14:paraId="326AF423" w14:textId="77777777" w:rsidTr="00A30E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54559207" w14:textId="4C24B5BC" w:rsidR="008A72DF" w:rsidRPr="00EE1066" w:rsidRDefault="008A72DF" w:rsidP="0087238B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i w:val="0"/>
                <w:color w:val="17365D" w:themeColor="text2" w:themeShade="BF"/>
              </w:rPr>
            </w:pPr>
            <w:r w:rsidRPr="00EE1066">
              <w:rPr>
                <w:rFonts w:asciiTheme="minorHAnsi" w:hAnsiTheme="minorHAnsi" w:cstheme="minorHAnsi"/>
                <w:i w:val="0"/>
                <w:color w:val="17365D" w:themeColor="text2" w:themeShade="BF"/>
              </w:rPr>
              <w:t>España</w:t>
            </w:r>
          </w:p>
        </w:tc>
        <w:tc>
          <w:tcPr>
            <w:tcW w:w="2410" w:type="dxa"/>
            <w:shd w:val="clear" w:color="auto" w:fill="auto"/>
          </w:tcPr>
          <w:p w14:paraId="71CFFF4A" w14:textId="07008381" w:rsidR="008A72DF" w:rsidRPr="00EE1066" w:rsidDel="008A72DF" w:rsidRDefault="00A30E38" w:rsidP="00A30E38">
            <w:pPr>
              <w:pStyle w:val="Default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7365D" w:themeColor="text2" w:themeShade="BF"/>
              </w:rPr>
            </w:pPr>
            <w:r>
              <w:rPr>
                <w:rFonts w:asciiTheme="minorHAnsi" w:hAnsiTheme="minorHAnsi" w:cstheme="minorHAnsi"/>
                <w:color w:val="17365D" w:themeColor="text2" w:themeShade="BF"/>
              </w:rPr>
              <w:t>77</w:t>
            </w:r>
          </w:p>
        </w:tc>
        <w:tc>
          <w:tcPr>
            <w:tcW w:w="3118" w:type="dxa"/>
            <w:shd w:val="clear" w:color="auto" w:fill="auto"/>
          </w:tcPr>
          <w:p w14:paraId="5381B789" w14:textId="30CB0801" w:rsidR="008A72DF" w:rsidRPr="00EE1066" w:rsidRDefault="00A30E38" w:rsidP="00A30E38">
            <w:pPr>
              <w:pStyle w:val="Default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7365D" w:themeColor="text2" w:themeShade="BF"/>
              </w:rPr>
            </w:pPr>
            <w:r>
              <w:rPr>
                <w:rFonts w:asciiTheme="minorHAnsi" w:hAnsiTheme="minorHAnsi" w:cstheme="minorHAnsi"/>
                <w:color w:val="17365D" w:themeColor="text2" w:themeShade="BF"/>
              </w:rPr>
              <w:t>8</w:t>
            </w:r>
          </w:p>
        </w:tc>
      </w:tr>
      <w:tr w:rsidR="00BA42BE" w:rsidRPr="00EE1066" w14:paraId="1E543169" w14:textId="77777777" w:rsidTr="00A30E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6C5C3695" w14:textId="5DAF78CD" w:rsidR="00F374A5" w:rsidRPr="00EE1066" w:rsidRDefault="00F374A5" w:rsidP="0087238B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i w:val="0"/>
                <w:color w:val="17365D" w:themeColor="text2" w:themeShade="BF"/>
              </w:rPr>
            </w:pPr>
            <w:r w:rsidRPr="00EE1066">
              <w:rPr>
                <w:rFonts w:asciiTheme="minorHAnsi" w:hAnsiTheme="minorHAnsi" w:cstheme="minorHAnsi"/>
                <w:i w:val="0"/>
                <w:color w:val="17365D" w:themeColor="text2" w:themeShade="BF"/>
              </w:rPr>
              <w:t>Italia</w:t>
            </w:r>
          </w:p>
        </w:tc>
        <w:tc>
          <w:tcPr>
            <w:tcW w:w="2410" w:type="dxa"/>
            <w:shd w:val="clear" w:color="auto" w:fill="auto"/>
          </w:tcPr>
          <w:p w14:paraId="28A6D7A9" w14:textId="4C63D6D8" w:rsidR="00F374A5" w:rsidRPr="00EE1066" w:rsidRDefault="00A30E38" w:rsidP="00C72590">
            <w:pPr>
              <w:pStyle w:val="Default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17365D" w:themeColor="text2" w:themeShade="BF"/>
              </w:rPr>
            </w:pPr>
            <w:r>
              <w:rPr>
                <w:rFonts w:asciiTheme="minorHAnsi" w:hAnsiTheme="minorHAnsi" w:cstheme="minorHAnsi"/>
                <w:color w:val="17365D" w:themeColor="text2" w:themeShade="BF"/>
              </w:rPr>
              <w:t>66</w:t>
            </w:r>
          </w:p>
        </w:tc>
        <w:tc>
          <w:tcPr>
            <w:tcW w:w="3118" w:type="dxa"/>
            <w:shd w:val="clear" w:color="auto" w:fill="auto"/>
          </w:tcPr>
          <w:p w14:paraId="23AC26AB" w14:textId="0B481A17" w:rsidR="00F374A5" w:rsidRPr="00EE1066" w:rsidRDefault="00A30E38" w:rsidP="00F374A5">
            <w:pPr>
              <w:pStyle w:val="Default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17365D" w:themeColor="text2" w:themeShade="BF"/>
              </w:rPr>
            </w:pPr>
            <w:r>
              <w:rPr>
                <w:rFonts w:asciiTheme="minorHAnsi" w:hAnsiTheme="minorHAnsi" w:cstheme="minorHAnsi"/>
                <w:color w:val="17365D" w:themeColor="text2" w:themeShade="BF"/>
              </w:rPr>
              <w:t>5</w:t>
            </w:r>
          </w:p>
        </w:tc>
      </w:tr>
      <w:tr w:rsidR="00BA42BE" w:rsidRPr="00EE1066" w14:paraId="0AB9CE78" w14:textId="77777777" w:rsidTr="00A30E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1EF840F8" w14:textId="20D9CC4A" w:rsidR="00F374A5" w:rsidRPr="00EE1066" w:rsidRDefault="00A30E38" w:rsidP="00A30E38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i w:val="0"/>
                <w:color w:val="17365D" w:themeColor="text2" w:themeShade="BF"/>
              </w:rPr>
            </w:pPr>
            <w:r>
              <w:rPr>
                <w:rFonts w:asciiTheme="minorHAnsi" w:hAnsiTheme="minorHAnsi" w:cstheme="minorHAnsi"/>
                <w:i w:val="0"/>
                <w:color w:val="17365D" w:themeColor="text2" w:themeShade="BF"/>
              </w:rPr>
              <w:t>Alemania</w:t>
            </w:r>
          </w:p>
        </w:tc>
        <w:tc>
          <w:tcPr>
            <w:tcW w:w="2410" w:type="dxa"/>
            <w:shd w:val="clear" w:color="auto" w:fill="auto"/>
          </w:tcPr>
          <w:p w14:paraId="34E129EF" w14:textId="487A2503" w:rsidR="00F374A5" w:rsidRPr="00EE1066" w:rsidRDefault="00A30E38" w:rsidP="00F374A5">
            <w:pPr>
              <w:pStyle w:val="Default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7365D" w:themeColor="text2" w:themeShade="BF"/>
              </w:rPr>
            </w:pPr>
            <w:r>
              <w:rPr>
                <w:rFonts w:asciiTheme="minorHAnsi" w:hAnsiTheme="minorHAnsi" w:cstheme="minorHAnsi"/>
                <w:color w:val="17365D" w:themeColor="text2" w:themeShade="BF"/>
              </w:rPr>
              <w:t>13</w:t>
            </w:r>
          </w:p>
        </w:tc>
        <w:tc>
          <w:tcPr>
            <w:tcW w:w="3118" w:type="dxa"/>
            <w:shd w:val="clear" w:color="auto" w:fill="auto"/>
          </w:tcPr>
          <w:p w14:paraId="3D12865F" w14:textId="0D4D7DE7" w:rsidR="00F374A5" w:rsidRPr="00EE1066" w:rsidRDefault="00F374A5" w:rsidP="00F374A5">
            <w:pPr>
              <w:pStyle w:val="Default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7365D" w:themeColor="text2" w:themeShade="BF"/>
              </w:rPr>
            </w:pPr>
            <w:r w:rsidRPr="00EE1066">
              <w:rPr>
                <w:rFonts w:asciiTheme="minorHAnsi" w:hAnsiTheme="minorHAnsi" w:cstheme="minorHAnsi"/>
                <w:color w:val="17365D" w:themeColor="text2" w:themeShade="BF"/>
              </w:rPr>
              <w:t>0</w:t>
            </w:r>
          </w:p>
        </w:tc>
      </w:tr>
      <w:tr w:rsidR="00C72590" w:rsidRPr="00EE1066" w14:paraId="6F5FC321" w14:textId="77777777" w:rsidTr="00A30E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1F90EF0E" w14:textId="189F03F9" w:rsidR="00C72590" w:rsidRPr="00A30E38" w:rsidRDefault="00A30E38" w:rsidP="0087238B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i w:val="0"/>
                <w:color w:val="17365D" w:themeColor="text2" w:themeShade="BF"/>
              </w:rPr>
            </w:pPr>
            <w:r>
              <w:rPr>
                <w:rFonts w:asciiTheme="minorHAnsi" w:hAnsiTheme="minorHAnsi" w:cstheme="minorHAnsi"/>
                <w:i w:val="0"/>
                <w:color w:val="17365D" w:themeColor="text2" w:themeShade="BF"/>
              </w:rPr>
              <w:t>Países Bajos</w:t>
            </w:r>
          </w:p>
        </w:tc>
        <w:tc>
          <w:tcPr>
            <w:tcW w:w="2410" w:type="dxa"/>
            <w:shd w:val="clear" w:color="auto" w:fill="auto"/>
          </w:tcPr>
          <w:p w14:paraId="162FB13F" w14:textId="5FFDB312" w:rsidR="00C72590" w:rsidRPr="00EE1066" w:rsidRDefault="00A30E38" w:rsidP="00F374A5">
            <w:pPr>
              <w:pStyle w:val="Default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17365D" w:themeColor="text2" w:themeShade="BF"/>
              </w:rPr>
            </w:pPr>
            <w:r>
              <w:rPr>
                <w:rFonts w:asciiTheme="minorHAnsi" w:hAnsiTheme="minorHAnsi" w:cstheme="minorHAnsi"/>
                <w:color w:val="17365D" w:themeColor="text2" w:themeShade="BF"/>
              </w:rPr>
              <w:t>7</w:t>
            </w:r>
          </w:p>
        </w:tc>
        <w:tc>
          <w:tcPr>
            <w:tcW w:w="3118" w:type="dxa"/>
            <w:shd w:val="clear" w:color="auto" w:fill="auto"/>
          </w:tcPr>
          <w:p w14:paraId="3EAF8A77" w14:textId="22C61B3D" w:rsidR="00C72590" w:rsidRPr="00EE1066" w:rsidRDefault="00C72590" w:rsidP="00F374A5">
            <w:pPr>
              <w:pStyle w:val="Default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17365D" w:themeColor="text2" w:themeShade="BF"/>
              </w:rPr>
            </w:pPr>
            <w:r>
              <w:rPr>
                <w:rFonts w:asciiTheme="minorHAnsi" w:hAnsiTheme="minorHAnsi" w:cstheme="minorHAnsi"/>
                <w:color w:val="17365D" w:themeColor="text2" w:themeShade="BF"/>
              </w:rPr>
              <w:t>0</w:t>
            </w:r>
          </w:p>
        </w:tc>
      </w:tr>
      <w:tr w:rsidR="00C72590" w:rsidRPr="00EE1066" w14:paraId="605529CD" w14:textId="77777777" w:rsidTr="00A30E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6FED3E2F" w14:textId="7B84EC7F" w:rsidR="00C72590" w:rsidRPr="00A30E38" w:rsidRDefault="00A30E38" w:rsidP="0087238B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i w:val="0"/>
                <w:color w:val="17365D" w:themeColor="text2" w:themeShade="BF"/>
              </w:rPr>
            </w:pPr>
            <w:r>
              <w:rPr>
                <w:rFonts w:asciiTheme="minorHAnsi" w:hAnsiTheme="minorHAnsi" w:cstheme="minorHAnsi"/>
                <w:i w:val="0"/>
                <w:color w:val="17365D" w:themeColor="text2" w:themeShade="BF"/>
              </w:rPr>
              <w:t>Rumanía</w:t>
            </w:r>
          </w:p>
        </w:tc>
        <w:tc>
          <w:tcPr>
            <w:tcW w:w="2410" w:type="dxa"/>
            <w:shd w:val="clear" w:color="auto" w:fill="auto"/>
          </w:tcPr>
          <w:p w14:paraId="7B777A7F" w14:textId="665B4863" w:rsidR="00C72590" w:rsidRDefault="00A30E38" w:rsidP="00F374A5">
            <w:pPr>
              <w:pStyle w:val="Default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7365D" w:themeColor="text2" w:themeShade="BF"/>
              </w:rPr>
            </w:pPr>
            <w:r>
              <w:rPr>
                <w:rFonts w:asciiTheme="minorHAnsi" w:hAnsiTheme="minorHAnsi" w:cstheme="minorHAnsi"/>
                <w:color w:val="17365D" w:themeColor="text2" w:themeShade="BF"/>
              </w:rPr>
              <w:t>6</w:t>
            </w:r>
          </w:p>
        </w:tc>
        <w:tc>
          <w:tcPr>
            <w:tcW w:w="3118" w:type="dxa"/>
            <w:shd w:val="clear" w:color="auto" w:fill="auto"/>
          </w:tcPr>
          <w:p w14:paraId="31A349DB" w14:textId="0A8365F3" w:rsidR="00C72590" w:rsidRDefault="00A30E38" w:rsidP="00F374A5">
            <w:pPr>
              <w:pStyle w:val="Default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7365D" w:themeColor="text2" w:themeShade="BF"/>
              </w:rPr>
            </w:pPr>
            <w:r>
              <w:rPr>
                <w:rFonts w:asciiTheme="minorHAnsi" w:hAnsiTheme="minorHAnsi" w:cstheme="minorHAnsi"/>
                <w:color w:val="17365D" w:themeColor="text2" w:themeShade="BF"/>
              </w:rPr>
              <w:t>1</w:t>
            </w:r>
          </w:p>
        </w:tc>
      </w:tr>
      <w:tr w:rsidR="00A30E38" w:rsidRPr="00EE1066" w14:paraId="27829196" w14:textId="77777777" w:rsidTr="00A30E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51B72390" w14:textId="0153DE90" w:rsidR="00A30E38" w:rsidRDefault="00CE1DAC" w:rsidP="0087238B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i w:val="0"/>
                <w:color w:val="17365D" w:themeColor="text2" w:themeShade="BF"/>
              </w:rPr>
            </w:pPr>
            <w:r>
              <w:rPr>
                <w:rFonts w:asciiTheme="minorHAnsi" w:hAnsiTheme="minorHAnsi" w:cstheme="minorHAnsi"/>
                <w:i w:val="0"/>
                <w:color w:val="17365D" w:themeColor="text2" w:themeShade="BF"/>
              </w:rPr>
              <w:t>Hungría</w:t>
            </w:r>
          </w:p>
        </w:tc>
        <w:tc>
          <w:tcPr>
            <w:tcW w:w="2410" w:type="dxa"/>
            <w:shd w:val="clear" w:color="auto" w:fill="auto"/>
          </w:tcPr>
          <w:p w14:paraId="79DC2C0B" w14:textId="098DF360" w:rsidR="00A30E38" w:rsidRDefault="00CE1DAC" w:rsidP="00F374A5">
            <w:pPr>
              <w:pStyle w:val="Default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17365D" w:themeColor="text2" w:themeShade="BF"/>
              </w:rPr>
            </w:pPr>
            <w:r>
              <w:rPr>
                <w:rFonts w:asciiTheme="minorHAnsi" w:hAnsiTheme="minorHAnsi" w:cstheme="minorHAnsi"/>
                <w:color w:val="17365D" w:themeColor="text2" w:themeShade="BF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14:paraId="0E928EF2" w14:textId="25BE566C" w:rsidR="00A30E38" w:rsidRDefault="00CE1DAC" w:rsidP="00F374A5">
            <w:pPr>
              <w:pStyle w:val="Default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17365D" w:themeColor="text2" w:themeShade="BF"/>
              </w:rPr>
            </w:pPr>
            <w:r>
              <w:rPr>
                <w:rFonts w:asciiTheme="minorHAnsi" w:hAnsiTheme="minorHAnsi" w:cstheme="minorHAnsi"/>
                <w:color w:val="17365D" w:themeColor="text2" w:themeShade="BF"/>
              </w:rPr>
              <w:t>0</w:t>
            </w:r>
          </w:p>
        </w:tc>
      </w:tr>
      <w:tr w:rsidR="00CE1DAC" w:rsidRPr="00EE1066" w14:paraId="3623D81D" w14:textId="77777777" w:rsidTr="00A30E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25B200AB" w14:textId="1826916D" w:rsidR="00CE1DAC" w:rsidRDefault="00CE1DAC" w:rsidP="0087238B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i w:val="0"/>
                <w:color w:val="17365D" w:themeColor="text2" w:themeShade="BF"/>
              </w:rPr>
            </w:pPr>
            <w:r>
              <w:rPr>
                <w:rFonts w:asciiTheme="minorHAnsi" w:hAnsiTheme="minorHAnsi" w:cstheme="minorHAnsi"/>
                <w:i w:val="0"/>
                <w:color w:val="17365D" w:themeColor="text2" w:themeShade="BF"/>
              </w:rPr>
              <w:t>Bulgaria</w:t>
            </w:r>
          </w:p>
        </w:tc>
        <w:tc>
          <w:tcPr>
            <w:tcW w:w="2410" w:type="dxa"/>
            <w:shd w:val="clear" w:color="auto" w:fill="auto"/>
          </w:tcPr>
          <w:p w14:paraId="38D06F9F" w14:textId="1AA5C19D" w:rsidR="00CE1DAC" w:rsidRDefault="00CE1DAC" w:rsidP="00F374A5">
            <w:pPr>
              <w:pStyle w:val="Default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7365D" w:themeColor="text2" w:themeShade="BF"/>
              </w:rPr>
            </w:pPr>
            <w:r>
              <w:rPr>
                <w:rFonts w:asciiTheme="minorHAnsi" w:hAnsiTheme="minorHAnsi" w:cstheme="minorHAnsi"/>
                <w:color w:val="17365D" w:themeColor="text2" w:themeShade="BF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2F56F5E3" w14:textId="640174A8" w:rsidR="00CE1DAC" w:rsidRDefault="00CE1DAC" w:rsidP="00F374A5">
            <w:pPr>
              <w:pStyle w:val="Default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7365D" w:themeColor="text2" w:themeShade="BF"/>
              </w:rPr>
            </w:pPr>
            <w:r>
              <w:rPr>
                <w:rFonts w:asciiTheme="minorHAnsi" w:hAnsiTheme="minorHAnsi" w:cstheme="minorHAnsi"/>
                <w:color w:val="17365D" w:themeColor="text2" w:themeShade="BF"/>
              </w:rPr>
              <w:t>1</w:t>
            </w:r>
          </w:p>
        </w:tc>
      </w:tr>
    </w:tbl>
    <w:p w14:paraId="0FB798BF" w14:textId="534A06F1" w:rsidR="00F374A5" w:rsidRPr="00EE1066" w:rsidRDefault="00335B0A" w:rsidP="00EE1066">
      <w:pPr>
        <w:pStyle w:val="Default"/>
        <w:spacing w:line="360" w:lineRule="auto"/>
        <w:ind w:left="708"/>
        <w:jc w:val="both"/>
        <w:rPr>
          <w:rFonts w:asciiTheme="minorHAnsi" w:hAnsiTheme="minorHAnsi" w:cstheme="minorHAnsi"/>
          <w:i/>
          <w:color w:val="17365D" w:themeColor="text2" w:themeShade="BF"/>
          <w:sz w:val="20"/>
          <w:szCs w:val="20"/>
        </w:rPr>
      </w:pPr>
      <w:r>
        <w:rPr>
          <w:rFonts w:asciiTheme="minorHAnsi" w:hAnsiTheme="minorHAnsi" w:cstheme="minorHAnsi"/>
          <w:i/>
          <w:color w:val="17365D" w:themeColor="text2" w:themeShade="BF"/>
          <w:sz w:val="20"/>
          <w:szCs w:val="20"/>
        </w:rPr>
        <w:t>.</w:t>
      </w:r>
    </w:p>
    <w:p w14:paraId="5EAF397C" w14:textId="1E81280A" w:rsidR="00F374A5" w:rsidRPr="00CE1DAC" w:rsidRDefault="00372553" w:rsidP="00F374A5">
      <w:pPr>
        <w:pStyle w:val="Default"/>
        <w:spacing w:line="360" w:lineRule="auto"/>
        <w:jc w:val="both"/>
        <w:rPr>
          <w:rFonts w:asciiTheme="minorHAnsi" w:hAnsiTheme="minorHAnsi" w:cstheme="minorHAnsi"/>
          <w:color w:val="17365D" w:themeColor="text2" w:themeShade="BF"/>
        </w:rPr>
      </w:pPr>
      <w:r w:rsidRPr="00CE1DAC">
        <w:rPr>
          <w:rFonts w:asciiTheme="minorHAnsi" w:hAnsiTheme="minorHAnsi" w:cstheme="minorHAnsi"/>
          <w:color w:val="17365D" w:themeColor="text2" w:themeShade="BF"/>
        </w:rPr>
        <w:lastRenderedPageBreak/>
        <w:t xml:space="preserve">En Europa, la temporada de circulación </w:t>
      </w:r>
      <w:r w:rsidR="00257140" w:rsidRPr="00CE1DAC">
        <w:rPr>
          <w:rFonts w:asciiTheme="minorHAnsi" w:hAnsiTheme="minorHAnsi" w:cstheme="minorHAnsi"/>
          <w:color w:val="17365D" w:themeColor="text2" w:themeShade="BF"/>
        </w:rPr>
        <w:t xml:space="preserve">y vigilancia </w:t>
      </w:r>
      <w:r w:rsidRPr="00CE1DAC">
        <w:rPr>
          <w:rFonts w:asciiTheme="minorHAnsi" w:hAnsiTheme="minorHAnsi" w:cstheme="minorHAnsi"/>
          <w:color w:val="17365D" w:themeColor="text2" w:themeShade="BF"/>
        </w:rPr>
        <w:t xml:space="preserve">del VNO es </w:t>
      </w:r>
      <w:r w:rsidR="00257140" w:rsidRPr="00CE1DAC">
        <w:rPr>
          <w:rFonts w:asciiTheme="minorHAnsi" w:hAnsiTheme="minorHAnsi" w:cstheme="minorHAnsi"/>
          <w:color w:val="17365D" w:themeColor="text2" w:themeShade="BF"/>
        </w:rPr>
        <w:t>habitualmente de</w:t>
      </w:r>
      <w:r w:rsidRPr="00CE1DAC">
        <w:rPr>
          <w:rFonts w:asciiTheme="minorHAnsi" w:hAnsiTheme="minorHAnsi" w:cstheme="minorHAnsi"/>
          <w:color w:val="17365D" w:themeColor="text2" w:themeShade="BF"/>
        </w:rPr>
        <w:t xml:space="preserve"> </w:t>
      </w:r>
      <w:r w:rsidR="00D15638" w:rsidRPr="00CE1DAC">
        <w:rPr>
          <w:rFonts w:asciiTheme="minorHAnsi" w:hAnsiTheme="minorHAnsi" w:cstheme="minorHAnsi"/>
          <w:color w:val="17365D" w:themeColor="text2" w:themeShade="BF"/>
        </w:rPr>
        <w:t xml:space="preserve">Mayo </w:t>
      </w:r>
      <w:r w:rsidRPr="00CE1DAC">
        <w:rPr>
          <w:rFonts w:asciiTheme="minorHAnsi" w:hAnsiTheme="minorHAnsi" w:cstheme="minorHAnsi"/>
          <w:color w:val="17365D" w:themeColor="text2" w:themeShade="BF"/>
        </w:rPr>
        <w:t>a Noviembre.</w:t>
      </w:r>
    </w:p>
    <w:p w14:paraId="6CA99707" w14:textId="247D1DE1" w:rsidR="00895D7D" w:rsidRDefault="005E6643" w:rsidP="00895D7D">
      <w:pPr>
        <w:pStyle w:val="Default"/>
        <w:spacing w:line="360" w:lineRule="auto"/>
        <w:jc w:val="both"/>
        <w:rPr>
          <w:rFonts w:asciiTheme="minorHAnsi" w:hAnsiTheme="minorHAnsi" w:cstheme="minorHAnsi"/>
          <w:color w:val="17365D" w:themeColor="text2" w:themeShade="BF"/>
        </w:rPr>
      </w:pPr>
      <w:r w:rsidRPr="00CE1DAC">
        <w:rPr>
          <w:rFonts w:asciiTheme="minorHAnsi" w:hAnsiTheme="minorHAnsi" w:cstheme="minorHAnsi"/>
          <w:color w:val="17365D" w:themeColor="text2" w:themeShade="BF"/>
        </w:rPr>
        <w:t>En la temporada 2021</w:t>
      </w:r>
      <w:r w:rsidR="00895D7D" w:rsidRPr="00CE1DAC">
        <w:rPr>
          <w:rFonts w:asciiTheme="minorHAnsi" w:hAnsiTheme="minorHAnsi" w:cstheme="minorHAnsi"/>
          <w:color w:val="17365D" w:themeColor="text2" w:themeShade="BF"/>
        </w:rPr>
        <w:t>, hasta el 10 de junio, no se han notificado casos en humanos en el ámbito de la U</w:t>
      </w:r>
      <w:r w:rsidR="00CE1DAC" w:rsidRPr="00CE1DAC">
        <w:rPr>
          <w:rFonts w:asciiTheme="minorHAnsi" w:hAnsiTheme="minorHAnsi" w:cstheme="minorHAnsi"/>
          <w:color w:val="17365D" w:themeColor="text2" w:themeShade="BF"/>
        </w:rPr>
        <w:t>E</w:t>
      </w:r>
      <w:r w:rsidR="00895D7D" w:rsidRPr="00CE1DAC">
        <w:rPr>
          <w:rFonts w:asciiTheme="minorHAnsi" w:hAnsiTheme="minorHAnsi" w:cstheme="minorHAnsi"/>
          <w:color w:val="17365D" w:themeColor="text2" w:themeShade="BF"/>
        </w:rPr>
        <w:t xml:space="preserve">, Área </w:t>
      </w:r>
      <w:r w:rsidR="00CE1DAC" w:rsidRPr="00CE1DAC">
        <w:rPr>
          <w:rFonts w:asciiTheme="minorHAnsi" w:hAnsiTheme="minorHAnsi" w:cstheme="minorHAnsi"/>
          <w:color w:val="17365D" w:themeColor="text2" w:themeShade="BF"/>
        </w:rPr>
        <w:t>E</w:t>
      </w:r>
      <w:r w:rsidR="00895D7D" w:rsidRPr="00CE1DAC">
        <w:rPr>
          <w:rFonts w:asciiTheme="minorHAnsi" w:hAnsiTheme="minorHAnsi" w:cstheme="minorHAnsi"/>
          <w:color w:val="17365D" w:themeColor="text2" w:themeShade="BF"/>
        </w:rPr>
        <w:t xml:space="preserve">conómica </w:t>
      </w:r>
      <w:r w:rsidR="00CE1DAC" w:rsidRPr="00CE1DAC">
        <w:rPr>
          <w:rFonts w:asciiTheme="minorHAnsi" w:hAnsiTheme="minorHAnsi" w:cstheme="minorHAnsi"/>
          <w:color w:val="17365D" w:themeColor="text2" w:themeShade="BF"/>
        </w:rPr>
        <w:t>Europea</w:t>
      </w:r>
      <w:r w:rsidR="00895D7D" w:rsidRPr="00CE1DAC">
        <w:rPr>
          <w:rFonts w:asciiTheme="minorHAnsi" w:hAnsiTheme="minorHAnsi" w:cstheme="minorHAnsi"/>
          <w:color w:val="17365D" w:themeColor="text2" w:themeShade="BF"/>
        </w:rPr>
        <w:t xml:space="preserve"> ni países vecinos</w:t>
      </w:r>
      <w:r w:rsidR="00CE1DAC" w:rsidRPr="00CE1DAC">
        <w:rPr>
          <w:rFonts w:asciiTheme="minorHAnsi" w:hAnsiTheme="minorHAnsi" w:cstheme="minorHAnsi"/>
          <w:color w:val="17365D" w:themeColor="text2" w:themeShade="BF"/>
        </w:rPr>
        <w:t xml:space="preserve"> a la UE</w:t>
      </w:r>
      <w:r w:rsidR="00895D7D" w:rsidRPr="00CE1DAC">
        <w:rPr>
          <w:rFonts w:asciiTheme="minorHAnsi" w:hAnsiTheme="minorHAnsi" w:cstheme="minorHAnsi"/>
          <w:color w:val="17365D" w:themeColor="text2" w:themeShade="BF"/>
        </w:rPr>
        <w:t>. Asimismo tampoco se han reportado</w:t>
      </w:r>
      <w:r w:rsidR="00CE1DAC" w:rsidRPr="00CE1DAC">
        <w:rPr>
          <w:rFonts w:asciiTheme="minorHAnsi" w:hAnsiTheme="minorHAnsi" w:cstheme="minorHAnsi"/>
          <w:color w:val="17365D" w:themeColor="text2" w:themeShade="BF"/>
        </w:rPr>
        <w:t xml:space="preserve"> casos en équidos ni aves</w:t>
      </w:r>
      <w:r w:rsidR="00CE1DAC">
        <w:rPr>
          <w:rFonts w:asciiTheme="minorHAnsi" w:hAnsiTheme="minorHAnsi" w:cstheme="minorHAnsi"/>
          <w:color w:val="17365D" w:themeColor="text2" w:themeShade="BF"/>
        </w:rPr>
        <w:t>.</w:t>
      </w:r>
    </w:p>
    <w:p w14:paraId="6C1C5ACD" w14:textId="77777777" w:rsidR="00E12247" w:rsidRPr="00424460" w:rsidRDefault="00E12247" w:rsidP="00E12247">
      <w:pPr>
        <w:pStyle w:val="Default"/>
        <w:spacing w:line="276" w:lineRule="auto"/>
        <w:jc w:val="both"/>
        <w:rPr>
          <w:rFonts w:asciiTheme="minorHAnsi" w:hAnsiTheme="minorHAnsi"/>
          <w:color w:val="17365D" w:themeColor="text2" w:themeShade="BF"/>
        </w:rPr>
      </w:pPr>
    </w:p>
    <w:p w14:paraId="7757934D" w14:textId="1E602228" w:rsidR="000E6EA1" w:rsidRPr="00BA42BE" w:rsidRDefault="00F46EC0" w:rsidP="003D61F8">
      <w:pPr>
        <w:shd w:val="clear" w:color="auto" w:fill="B8CCE4" w:themeFill="accent1" w:themeFillTint="66"/>
        <w:autoSpaceDE w:val="0"/>
        <w:autoSpaceDN w:val="0"/>
        <w:adjustRightInd w:val="0"/>
        <w:spacing w:after="120"/>
        <w:jc w:val="both"/>
        <w:rPr>
          <w:rFonts w:eastAsia="Times New Roman" w:cs="Arial"/>
          <w:b/>
          <w:color w:val="17365D" w:themeColor="text2" w:themeShade="BF"/>
          <w:sz w:val="24"/>
          <w:szCs w:val="24"/>
          <w:lang w:eastAsia="es-ES"/>
        </w:rPr>
      </w:pPr>
      <w:r>
        <w:rPr>
          <w:rFonts w:eastAsia="Times New Roman" w:cs="Arial"/>
          <w:b/>
          <w:color w:val="17365D" w:themeColor="text2" w:themeShade="BF"/>
          <w:sz w:val="24"/>
          <w:szCs w:val="24"/>
          <w:lang w:eastAsia="es-ES"/>
        </w:rPr>
        <w:t xml:space="preserve">RECOMENDACIONES </w:t>
      </w:r>
      <w:r w:rsidR="00344057">
        <w:rPr>
          <w:rFonts w:eastAsia="Times New Roman" w:cs="Arial"/>
          <w:b/>
          <w:color w:val="17365D" w:themeColor="text2" w:themeShade="BF"/>
          <w:sz w:val="24"/>
          <w:szCs w:val="24"/>
          <w:lang w:eastAsia="es-ES"/>
        </w:rPr>
        <w:t xml:space="preserve">ACTUALES </w:t>
      </w:r>
      <w:r w:rsidR="00071EC7" w:rsidRPr="00BA42BE">
        <w:rPr>
          <w:rFonts w:eastAsia="Times New Roman" w:cs="Arial"/>
          <w:b/>
          <w:color w:val="17365D" w:themeColor="text2" w:themeShade="BF"/>
          <w:sz w:val="24"/>
          <w:szCs w:val="24"/>
          <w:lang w:eastAsia="es-ES"/>
        </w:rPr>
        <w:t xml:space="preserve">RESPECTO A LA DONACIÓN Y </w:t>
      </w:r>
      <w:r w:rsidR="00D113E0" w:rsidRPr="00BA42BE">
        <w:rPr>
          <w:rFonts w:eastAsia="Times New Roman" w:cs="Arial"/>
          <w:b/>
          <w:color w:val="17365D" w:themeColor="text2" w:themeShade="BF"/>
          <w:sz w:val="24"/>
          <w:szCs w:val="24"/>
          <w:lang w:eastAsia="es-ES"/>
        </w:rPr>
        <w:t>E</w:t>
      </w:r>
      <w:r w:rsidR="00071EC7" w:rsidRPr="00BA42BE">
        <w:rPr>
          <w:rFonts w:eastAsia="Times New Roman" w:cs="Arial"/>
          <w:b/>
          <w:color w:val="17365D" w:themeColor="text2" w:themeShade="BF"/>
          <w:sz w:val="24"/>
          <w:szCs w:val="24"/>
          <w:lang w:eastAsia="es-ES"/>
        </w:rPr>
        <w:t xml:space="preserve">L TRASPLANTE </w:t>
      </w:r>
      <w:r w:rsidR="00D113E0" w:rsidRPr="00BA42BE">
        <w:rPr>
          <w:rFonts w:eastAsia="Times New Roman" w:cs="Arial"/>
          <w:b/>
          <w:color w:val="17365D" w:themeColor="text2" w:themeShade="BF"/>
          <w:sz w:val="24"/>
          <w:szCs w:val="24"/>
          <w:lang w:eastAsia="es-ES"/>
        </w:rPr>
        <w:t xml:space="preserve">DE ÓRGANOS, TEJIDOS Y CÉLULAS EN RELACIÓN CON </w:t>
      </w:r>
      <w:r w:rsidR="00725CF5">
        <w:rPr>
          <w:rFonts w:eastAsia="Times New Roman" w:cs="Arial"/>
          <w:b/>
          <w:color w:val="17365D" w:themeColor="text2" w:themeShade="BF"/>
          <w:sz w:val="24"/>
          <w:szCs w:val="24"/>
          <w:lang w:eastAsia="es-ES"/>
        </w:rPr>
        <w:t xml:space="preserve">LA INFECCIÓN POR </w:t>
      </w:r>
      <w:r w:rsidR="00AD62BF" w:rsidRPr="00BA42BE">
        <w:rPr>
          <w:rFonts w:eastAsia="Times New Roman" w:cs="Arial"/>
          <w:b/>
          <w:color w:val="17365D" w:themeColor="text2" w:themeShade="BF"/>
          <w:sz w:val="24"/>
          <w:szCs w:val="24"/>
          <w:lang w:eastAsia="es-ES"/>
        </w:rPr>
        <w:t>EL VIRUS DEL NILO OCCIDENTAL</w:t>
      </w:r>
    </w:p>
    <w:p w14:paraId="26B48319" w14:textId="1F42A63E" w:rsidR="00F663A3" w:rsidRPr="00BA42BE" w:rsidRDefault="00F663A3" w:rsidP="004366E3">
      <w:pPr>
        <w:spacing w:after="0" w:line="360" w:lineRule="auto"/>
        <w:jc w:val="both"/>
        <w:rPr>
          <w:rFonts w:eastAsia="Times New Roman" w:cstheme="minorHAnsi"/>
          <w:color w:val="17365D" w:themeColor="text2" w:themeShade="BF"/>
          <w:sz w:val="24"/>
          <w:szCs w:val="24"/>
          <w:lang w:eastAsia="es-ES"/>
        </w:rPr>
      </w:pPr>
      <w:r w:rsidRPr="00BA42BE">
        <w:rPr>
          <w:rFonts w:eastAsia="Times New Roman" w:cstheme="minorHAnsi"/>
          <w:color w:val="17365D" w:themeColor="text2" w:themeShade="BF"/>
          <w:sz w:val="24"/>
          <w:szCs w:val="24"/>
          <w:lang w:eastAsia="es-ES"/>
        </w:rPr>
        <w:t>El Documento de Consenso del Grupo de Estudio de la Infección en el Trasplante (GESITRA) perteneciente a la Sociedad Española de Enfermedades Infecciosas y Microbiología Clínica</w:t>
      </w:r>
      <w:r w:rsidR="00F0763E">
        <w:rPr>
          <w:rFonts w:eastAsia="Times New Roman" w:cstheme="minorHAnsi"/>
          <w:color w:val="17365D" w:themeColor="text2" w:themeShade="BF"/>
          <w:sz w:val="24"/>
          <w:szCs w:val="24"/>
          <w:lang w:eastAsia="es-ES"/>
        </w:rPr>
        <w:t xml:space="preserve"> (SEIMC)</w:t>
      </w:r>
      <w:r w:rsidRPr="00BA42BE">
        <w:rPr>
          <w:rFonts w:eastAsia="Times New Roman" w:cstheme="minorHAnsi"/>
          <w:color w:val="17365D" w:themeColor="text2" w:themeShade="BF"/>
          <w:sz w:val="24"/>
          <w:szCs w:val="24"/>
          <w:lang w:eastAsia="es-ES"/>
        </w:rPr>
        <w:t xml:space="preserve"> y la ONT sobre los Criterios de Selección del Donante de Órganos Sólidos en Relación a las Enfermedades Infecciosas, aprobado en la Comisión de Trasplantes del Consejo Interterritorial del CIT el 3 de julio </w:t>
      </w:r>
      <w:r w:rsidR="004845FB" w:rsidRPr="00BA42BE">
        <w:rPr>
          <w:rFonts w:eastAsia="Times New Roman" w:cstheme="minorHAnsi"/>
          <w:color w:val="17365D" w:themeColor="text2" w:themeShade="BF"/>
          <w:sz w:val="24"/>
          <w:szCs w:val="24"/>
          <w:lang w:eastAsia="es-ES"/>
        </w:rPr>
        <w:t xml:space="preserve">de 2019 </w:t>
      </w:r>
      <w:r w:rsidRPr="00BA42BE">
        <w:rPr>
          <w:rFonts w:eastAsia="Times New Roman" w:cstheme="minorHAnsi"/>
          <w:color w:val="17365D" w:themeColor="text2" w:themeShade="BF"/>
          <w:sz w:val="24"/>
          <w:szCs w:val="24"/>
          <w:lang w:eastAsia="es-ES"/>
        </w:rPr>
        <w:t xml:space="preserve">establece, en el epígrafe </w:t>
      </w:r>
      <w:r w:rsidR="007A0E26" w:rsidRPr="00BA42BE">
        <w:rPr>
          <w:rFonts w:eastAsia="Times New Roman" w:cstheme="minorHAnsi"/>
          <w:color w:val="17365D" w:themeColor="text2" w:themeShade="BF"/>
          <w:sz w:val="24"/>
          <w:szCs w:val="24"/>
          <w:lang w:eastAsia="es-ES"/>
        </w:rPr>
        <w:t xml:space="preserve">X. </w:t>
      </w:r>
      <w:r w:rsidRPr="00BA42BE">
        <w:rPr>
          <w:rFonts w:eastAsia="Times New Roman" w:cstheme="minorHAnsi"/>
          <w:color w:val="17365D" w:themeColor="text2" w:themeShade="BF"/>
          <w:sz w:val="24"/>
          <w:szCs w:val="24"/>
          <w:lang w:eastAsia="es-ES"/>
        </w:rPr>
        <w:t>15, una serie de recomendaciones en relación con el VNO</w:t>
      </w:r>
      <w:r w:rsidR="0087238B" w:rsidRPr="00BA42BE">
        <w:rPr>
          <w:rFonts w:eastAsia="Times New Roman" w:cstheme="minorHAnsi"/>
          <w:color w:val="17365D" w:themeColor="text2" w:themeShade="BF"/>
          <w:sz w:val="24"/>
          <w:szCs w:val="24"/>
          <w:lang w:eastAsia="es-ES"/>
        </w:rPr>
        <w:t>:</w:t>
      </w:r>
    </w:p>
    <w:p w14:paraId="7AA7C46B" w14:textId="77777777" w:rsidR="001A23C2" w:rsidRPr="00BA42BE" w:rsidRDefault="001A23C2" w:rsidP="001A23C2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Theme="minorHAnsi" w:eastAsia="Times New Roman" w:hAnsiTheme="minorHAnsi" w:cstheme="minorHAnsi"/>
          <w:color w:val="17365D" w:themeColor="text2" w:themeShade="BF"/>
          <w:sz w:val="24"/>
          <w:szCs w:val="24"/>
          <w:lang w:eastAsia="es-ES"/>
        </w:rPr>
      </w:pPr>
      <w:r w:rsidRPr="00BA42BE">
        <w:rPr>
          <w:rFonts w:asciiTheme="minorHAnsi" w:eastAsia="Times New Roman" w:hAnsiTheme="minorHAnsi" w:cstheme="minorHAnsi"/>
          <w:color w:val="17365D" w:themeColor="text2" w:themeShade="BF"/>
          <w:sz w:val="24"/>
          <w:szCs w:val="24"/>
          <w:lang w:eastAsia="es-ES"/>
        </w:rPr>
        <w:t xml:space="preserve">El cribado debe basarse en el antecedente epidemiológico del donante (estancia en los 28 días previos en zonas donde existan casos de transmisión del VNO a humanos) dado que la mayoría de las infecciones son asintomáticas. </w:t>
      </w:r>
    </w:p>
    <w:p w14:paraId="01334083" w14:textId="2DD262FB" w:rsidR="001A23C2" w:rsidRPr="00BA42BE" w:rsidRDefault="001A23C2" w:rsidP="001A23C2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Theme="minorHAnsi" w:eastAsia="Times New Roman" w:hAnsiTheme="minorHAnsi" w:cstheme="minorHAnsi"/>
          <w:color w:val="17365D" w:themeColor="text2" w:themeShade="BF"/>
          <w:sz w:val="24"/>
          <w:szCs w:val="24"/>
          <w:lang w:eastAsia="es-ES"/>
        </w:rPr>
      </w:pPr>
      <w:r w:rsidRPr="00BA42BE">
        <w:rPr>
          <w:rFonts w:asciiTheme="minorHAnsi" w:eastAsia="Times New Roman" w:hAnsiTheme="minorHAnsi" w:cstheme="minorHAnsi"/>
          <w:color w:val="17365D" w:themeColor="text2" w:themeShade="BF"/>
          <w:sz w:val="24"/>
          <w:szCs w:val="24"/>
          <w:lang w:eastAsia="es-ES"/>
        </w:rPr>
        <w:t xml:space="preserve">Se recomienda valorar cribado mediante PCR en aquellos donantes con riesgo epidemiológico y/o síntomas compatibles si en los 28 días previos a la donación existe: </w:t>
      </w:r>
    </w:p>
    <w:p w14:paraId="263E93CB" w14:textId="21E73F6E" w:rsidR="001A23C2" w:rsidRPr="00BA42BE" w:rsidRDefault="001A23C2" w:rsidP="001A23C2">
      <w:pPr>
        <w:pStyle w:val="Prrafodelista"/>
        <w:numPr>
          <w:ilvl w:val="1"/>
          <w:numId w:val="3"/>
        </w:numPr>
        <w:spacing w:after="0" w:line="360" w:lineRule="auto"/>
        <w:jc w:val="both"/>
        <w:rPr>
          <w:rFonts w:asciiTheme="minorHAnsi" w:eastAsia="Times New Roman" w:hAnsiTheme="minorHAnsi" w:cstheme="minorHAnsi"/>
          <w:color w:val="17365D" w:themeColor="text2" w:themeShade="BF"/>
          <w:sz w:val="24"/>
          <w:szCs w:val="24"/>
          <w:lang w:eastAsia="es-ES"/>
        </w:rPr>
      </w:pPr>
      <w:r w:rsidRPr="00BA42BE">
        <w:rPr>
          <w:rFonts w:asciiTheme="minorHAnsi" w:eastAsia="Times New Roman" w:hAnsiTheme="minorHAnsi" w:cstheme="minorHAnsi"/>
          <w:color w:val="17365D" w:themeColor="text2" w:themeShade="BF"/>
          <w:sz w:val="24"/>
          <w:szCs w:val="24"/>
          <w:lang w:eastAsia="es-ES"/>
        </w:rPr>
        <w:t>Estancia, viajes o trasfusiones de productos sanguíneos durante periodos de actividad en áreas con transmisión activa del VNO (</w:t>
      </w:r>
      <w:r w:rsidR="003E79F4">
        <w:rPr>
          <w:rFonts w:asciiTheme="minorHAnsi" w:eastAsia="Times New Roman" w:hAnsiTheme="minorHAnsi" w:cstheme="minorHAnsi"/>
          <w:color w:val="17365D" w:themeColor="text2" w:themeShade="BF"/>
          <w:sz w:val="24"/>
          <w:szCs w:val="24"/>
          <w:lang w:eastAsia="es-ES"/>
        </w:rPr>
        <w:t>de ma</w:t>
      </w:r>
      <w:r w:rsidRPr="00BA42BE">
        <w:rPr>
          <w:rFonts w:asciiTheme="minorHAnsi" w:eastAsia="Times New Roman" w:hAnsiTheme="minorHAnsi" w:cstheme="minorHAnsi"/>
          <w:color w:val="17365D" w:themeColor="text2" w:themeShade="BF"/>
          <w:sz w:val="24"/>
          <w:szCs w:val="24"/>
          <w:lang w:eastAsia="es-ES"/>
        </w:rPr>
        <w:t xml:space="preserve">yo a </w:t>
      </w:r>
      <w:r w:rsidR="003E79F4">
        <w:rPr>
          <w:rFonts w:asciiTheme="minorHAnsi" w:eastAsia="Times New Roman" w:hAnsiTheme="minorHAnsi" w:cstheme="minorHAnsi"/>
          <w:color w:val="17365D" w:themeColor="text2" w:themeShade="BF"/>
          <w:sz w:val="24"/>
          <w:szCs w:val="24"/>
          <w:lang w:eastAsia="es-ES"/>
        </w:rPr>
        <w:t>n</w:t>
      </w:r>
      <w:r w:rsidRPr="00BA42BE">
        <w:rPr>
          <w:rFonts w:asciiTheme="minorHAnsi" w:eastAsia="Times New Roman" w:hAnsiTheme="minorHAnsi" w:cstheme="minorHAnsi"/>
          <w:color w:val="17365D" w:themeColor="text2" w:themeShade="BF"/>
          <w:sz w:val="24"/>
          <w:szCs w:val="24"/>
          <w:lang w:eastAsia="es-ES"/>
        </w:rPr>
        <w:t>oviembre en el hemisferio norte).</w:t>
      </w:r>
    </w:p>
    <w:p w14:paraId="49B8A10C" w14:textId="26627B73" w:rsidR="001A23C2" w:rsidRPr="00BA42BE" w:rsidRDefault="001A23C2" w:rsidP="001A23C2">
      <w:pPr>
        <w:pStyle w:val="Prrafodelista"/>
        <w:numPr>
          <w:ilvl w:val="1"/>
          <w:numId w:val="3"/>
        </w:numPr>
        <w:spacing w:after="0" w:line="360" w:lineRule="auto"/>
        <w:jc w:val="both"/>
        <w:rPr>
          <w:rFonts w:asciiTheme="minorHAnsi" w:eastAsia="Times New Roman" w:hAnsiTheme="minorHAnsi" w:cstheme="minorHAnsi"/>
          <w:color w:val="17365D" w:themeColor="text2" w:themeShade="BF"/>
          <w:sz w:val="24"/>
          <w:szCs w:val="24"/>
          <w:lang w:eastAsia="es-ES"/>
        </w:rPr>
      </w:pPr>
      <w:r w:rsidRPr="00BA42BE">
        <w:rPr>
          <w:rFonts w:asciiTheme="minorHAnsi" w:eastAsia="Times New Roman" w:hAnsiTheme="minorHAnsi" w:cstheme="minorHAnsi"/>
          <w:color w:val="17365D" w:themeColor="text2" w:themeShade="BF"/>
          <w:sz w:val="24"/>
          <w:szCs w:val="24"/>
          <w:lang w:eastAsia="es-ES"/>
        </w:rPr>
        <w:t>Antecedentes de síndrome febril con o sin sintomatología neurológica durante estancia en áreas de transmisión activa de VNO.</w:t>
      </w:r>
    </w:p>
    <w:p w14:paraId="114A20FA" w14:textId="77777777" w:rsidR="001A23C2" w:rsidRPr="00BA42BE" w:rsidRDefault="001A23C2" w:rsidP="001A23C2">
      <w:pPr>
        <w:pStyle w:val="Prrafodelista"/>
        <w:numPr>
          <w:ilvl w:val="1"/>
          <w:numId w:val="3"/>
        </w:numPr>
        <w:spacing w:after="0" w:line="360" w:lineRule="auto"/>
        <w:jc w:val="both"/>
        <w:rPr>
          <w:rFonts w:asciiTheme="minorHAnsi" w:eastAsia="Times New Roman" w:hAnsiTheme="minorHAnsi" w:cstheme="minorHAnsi"/>
          <w:color w:val="17365D" w:themeColor="text2" w:themeShade="BF"/>
          <w:sz w:val="24"/>
          <w:szCs w:val="24"/>
          <w:lang w:eastAsia="es-ES"/>
        </w:rPr>
      </w:pPr>
      <w:r w:rsidRPr="00BA42BE">
        <w:rPr>
          <w:rFonts w:asciiTheme="minorHAnsi" w:eastAsia="Times New Roman" w:hAnsiTheme="minorHAnsi" w:cstheme="minorHAnsi"/>
          <w:color w:val="17365D" w:themeColor="text2" w:themeShade="BF"/>
          <w:sz w:val="24"/>
          <w:szCs w:val="24"/>
          <w:lang w:eastAsia="es-ES"/>
        </w:rPr>
        <w:t>Donantes con fiebre y encefalopatía en el momento de la donación y antecedentes epidemiológicos de exposición potencial a VNO.</w:t>
      </w:r>
    </w:p>
    <w:p w14:paraId="481A9779" w14:textId="5CFF306B" w:rsidR="001A23C2" w:rsidRPr="00BA42BE" w:rsidRDefault="001A23C2" w:rsidP="00C47926">
      <w:pPr>
        <w:pStyle w:val="Prrafodelista"/>
        <w:numPr>
          <w:ilvl w:val="1"/>
          <w:numId w:val="3"/>
        </w:numPr>
        <w:spacing w:after="0" w:line="360" w:lineRule="auto"/>
        <w:jc w:val="both"/>
        <w:rPr>
          <w:rFonts w:asciiTheme="minorHAnsi" w:eastAsia="Times New Roman" w:hAnsiTheme="minorHAnsi" w:cstheme="minorHAnsi"/>
          <w:color w:val="17365D" w:themeColor="text2" w:themeShade="BF"/>
          <w:sz w:val="24"/>
          <w:szCs w:val="24"/>
          <w:lang w:eastAsia="es-ES"/>
        </w:rPr>
      </w:pPr>
      <w:r w:rsidRPr="00BA42BE">
        <w:rPr>
          <w:rFonts w:asciiTheme="minorHAnsi" w:eastAsia="Times New Roman" w:hAnsiTheme="minorHAnsi" w:cstheme="minorHAnsi"/>
          <w:color w:val="17365D" w:themeColor="text2" w:themeShade="BF"/>
          <w:sz w:val="24"/>
          <w:szCs w:val="24"/>
          <w:lang w:eastAsia="es-ES"/>
        </w:rPr>
        <w:t xml:space="preserve">Antecedentes de diagnóstico de infección por VNO. </w:t>
      </w:r>
    </w:p>
    <w:p w14:paraId="0419B6E6" w14:textId="54FBC09E" w:rsidR="001A23C2" w:rsidRPr="00BA42BE" w:rsidRDefault="001A23C2" w:rsidP="001A23C2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Theme="minorHAnsi" w:eastAsia="Times New Roman" w:hAnsiTheme="minorHAnsi" w:cstheme="minorHAnsi"/>
          <w:color w:val="17365D" w:themeColor="text2" w:themeShade="BF"/>
          <w:sz w:val="24"/>
          <w:szCs w:val="24"/>
          <w:lang w:eastAsia="es-ES"/>
        </w:rPr>
      </w:pPr>
      <w:r w:rsidRPr="00BA42BE">
        <w:rPr>
          <w:rFonts w:asciiTheme="minorHAnsi" w:eastAsia="Times New Roman" w:hAnsiTheme="minorHAnsi" w:cstheme="minorHAnsi"/>
          <w:color w:val="17365D" w:themeColor="text2" w:themeShade="BF"/>
          <w:sz w:val="24"/>
          <w:szCs w:val="24"/>
          <w:lang w:eastAsia="es-ES"/>
        </w:rPr>
        <w:lastRenderedPageBreak/>
        <w:t xml:space="preserve">Si se detecta viremia o infección documentada por VNO en los 28 días previos se recomienda rechazar la donación de órganos. </w:t>
      </w:r>
    </w:p>
    <w:p w14:paraId="7ED7896A" w14:textId="08C354BB" w:rsidR="001A23C2" w:rsidRDefault="001A23C2" w:rsidP="001A23C2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Theme="minorHAnsi" w:eastAsia="Times New Roman" w:hAnsiTheme="minorHAnsi" w:cstheme="minorHAnsi"/>
          <w:color w:val="17365D" w:themeColor="text2" w:themeShade="BF"/>
          <w:sz w:val="24"/>
          <w:szCs w:val="24"/>
          <w:lang w:eastAsia="es-ES"/>
        </w:rPr>
      </w:pPr>
      <w:r w:rsidRPr="00BA42BE">
        <w:rPr>
          <w:rFonts w:asciiTheme="minorHAnsi" w:eastAsia="Times New Roman" w:hAnsiTheme="minorHAnsi" w:cstheme="minorHAnsi"/>
          <w:color w:val="17365D" w:themeColor="text2" w:themeShade="BF"/>
          <w:sz w:val="24"/>
          <w:szCs w:val="24"/>
          <w:lang w:eastAsia="es-ES"/>
        </w:rPr>
        <w:t xml:space="preserve">Si no es posible realizar cribado y existen factores de riesgo epidemiológico o antecedentes clínicos en los 28 días previos, considerar rechazar la donación de órganos. </w:t>
      </w:r>
    </w:p>
    <w:p w14:paraId="473B3DEA" w14:textId="175C74EE" w:rsidR="006B1857" w:rsidRDefault="00F46EC0" w:rsidP="00F46EC0">
      <w:pPr>
        <w:spacing w:after="0" w:line="360" w:lineRule="auto"/>
        <w:jc w:val="both"/>
        <w:rPr>
          <w:rFonts w:eastAsia="Times New Roman" w:cstheme="minorHAnsi"/>
          <w:color w:val="17365D" w:themeColor="text2" w:themeShade="BF"/>
          <w:sz w:val="24"/>
          <w:szCs w:val="24"/>
          <w:lang w:eastAsia="es-ES"/>
        </w:rPr>
      </w:pPr>
      <w:r>
        <w:rPr>
          <w:rFonts w:eastAsia="Times New Roman" w:cstheme="minorHAnsi"/>
          <w:color w:val="17365D" w:themeColor="text2" w:themeShade="BF"/>
          <w:sz w:val="24"/>
          <w:szCs w:val="24"/>
          <w:lang w:eastAsia="es-ES"/>
        </w:rPr>
        <w:t xml:space="preserve">Estas recomendaciones están alineadas con las especificadas en la Guía del Consejo de Europa sobre la Calidad y la Seguridad de los Órganos Humanos para Trasplante, en su 7ª Edición, del año 2018. </w:t>
      </w:r>
    </w:p>
    <w:p w14:paraId="22555049" w14:textId="77777777" w:rsidR="00F46EC0" w:rsidRPr="00F46EC0" w:rsidRDefault="00F46EC0" w:rsidP="00F46EC0">
      <w:pPr>
        <w:spacing w:after="0" w:line="360" w:lineRule="auto"/>
        <w:jc w:val="both"/>
        <w:rPr>
          <w:rFonts w:eastAsia="Times New Roman" w:cstheme="minorHAnsi"/>
          <w:color w:val="17365D" w:themeColor="text2" w:themeShade="BF"/>
          <w:sz w:val="24"/>
          <w:szCs w:val="24"/>
          <w:lang w:eastAsia="es-ES"/>
        </w:rPr>
      </w:pPr>
    </w:p>
    <w:p w14:paraId="406EED6D" w14:textId="2CC50286" w:rsidR="009B34C4" w:rsidRPr="00BA42BE" w:rsidRDefault="009B34C4" w:rsidP="009B34C4">
      <w:pPr>
        <w:shd w:val="clear" w:color="auto" w:fill="B8CCE4" w:themeFill="accent1" w:themeFillTint="66"/>
        <w:autoSpaceDE w:val="0"/>
        <w:autoSpaceDN w:val="0"/>
        <w:adjustRightInd w:val="0"/>
        <w:spacing w:after="120"/>
        <w:jc w:val="both"/>
        <w:rPr>
          <w:rFonts w:eastAsia="Times New Roman" w:cs="Arial"/>
          <w:b/>
          <w:color w:val="17365D" w:themeColor="text2" w:themeShade="BF"/>
          <w:sz w:val="24"/>
          <w:szCs w:val="24"/>
          <w:lang w:eastAsia="es-ES"/>
        </w:rPr>
      </w:pPr>
      <w:r>
        <w:rPr>
          <w:rFonts w:eastAsia="Times New Roman" w:cs="Arial"/>
          <w:b/>
          <w:color w:val="17365D" w:themeColor="text2" w:themeShade="BF"/>
          <w:sz w:val="24"/>
          <w:szCs w:val="24"/>
          <w:lang w:eastAsia="es-ES"/>
        </w:rPr>
        <w:t>RECOMENDACIONES</w:t>
      </w:r>
      <w:r w:rsidRPr="00BA42BE">
        <w:rPr>
          <w:rFonts w:eastAsia="Times New Roman" w:cs="Arial"/>
          <w:b/>
          <w:color w:val="17365D" w:themeColor="text2" w:themeShade="BF"/>
          <w:sz w:val="24"/>
          <w:szCs w:val="24"/>
          <w:lang w:eastAsia="es-ES"/>
        </w:rPr>
        <w:t xml:space="preserve"> RESPECTO A LA DONACIÓN Y EL TRASPLANTE DE ÓRGANOS, TEJIDOS Y CÉLULAS ESPAÑA EN RELACIÓN CON </w:t>
      </w:r>
      <w:r>
        <w:rPr>
          <w:rFonts w:eastAsia="Times New Roman" w:cs="Arial"/>
          <w:b/>
          <w:color w:val="17365D" w:themeColor="text2" w:themeShade="BF"/>
          <w:sz w:val="24"/>
          <w:szCs w:val="24"/>
          <w:lang w:eastAsia="es-ES"/>
        </w:rPr>
        <w:t xml:space="preserve">EL BROTE </w:t>
      </w:r>
      <w:r w:rsidR="00F03197">
        <w:rPr>
          <w:rFonts w:eastAsia="Times New Roman" w:cs="Arial"/>
          <w:b/>
          <w:color w:val="17365D" w:themeColor="text2" w:themeShade="BF"/>
          <w:sz w:val="24"/>
          <w:szCs w:val="24"/>
          <w:lang w:eastAsia="es-ES"/>
        </w:rPr>
        <w:t xml:space="preserve">ACTUAL </w:t>
      </w:r>
      <w:r>
        <w:rPr>
          <w:rFonts w:eastAsia="Times New Roman" w:cs="Arial"/>
          <w:b/>
          <w:color w:val="17365D" w:themeColor="text2" w:themeShade="BF"/>
          <w:sz w:val="24"/>
          <w:szCs w:val="24"/>
          <w:lang w:eastAsia="es-ES"/>
        </w:rPr>
        <w:t xml:space="preserve">DE INFECCIÓN POR </w:t>
      </w:r>
      <w:r w:rsidRPr="00BA42BE">
        <w:rPr>
          <w:rFonts w:eastAsia="Times New Roman" w:cs="Arial"/>
          <w:b/>
          <w:color w:val="17365D" w:themeColor="text2" w:themeShade="BF"/>
          <w:sz w:val="24"/>
          <w:szCs w:val="24"/>
          <w:lang w:eastAsia="es-ES"/>
        </w:rPr>
        <w:t>EL VIRUS DEL NILO OCCIDENTAL</w:t>
      </w:r>
      <w:r>
        <w:rPr>
          <w:rFonts w:eastAsia="Times New Roman" w:cs="Arial"/>
          <w:b/>
          <w:color w:val="17365D" w:themeColor="text2" w:themeShade="BF"/>
          <w:sz w:val="24"/>
          <w:szCs w:val="24"/>
          <w:lang w:eastAsia="es-ES"/>
        </w:rPr>
        <w:t xml:space="preserve"> </w:t>
      </w:r>
    </w:p>
    <w:p w14:paraId="09661272" w14:textId="013A9C7B" w:rsidR="008B57A6" w:rsidRPr="00C47926" w:rsidRDefault="00F03197" w:rsidP="00C47926">
      <w:pPr>
        <w:pStyle w:val="Textosinformato"/>
        <w:spacing w:line="360" w:lineRule="auto"/>
        <w:jc w:val="both"/>
        <w:rPr>
          <w:color w:val="17365D" w:themeColor="text2" w:themeShade="BF"/>
          <w:sz w:val="24"/>
          <w:szCs w:val="24"/>
        </w:rPr>
      </w:pPr>
      <w:r w:rsidRPr="00BE7FAB">
        <w:rPr>
          <w:color w:val="17365D" w:themeColor="text2" w:themeShade="BF"/>
          <w:sz w:val="24"/>
          <w:szCs w:val="24"/>
        </w:rPr>
        <w:t>Con la información disponible hasta el momento</w:t>
      </w:r>
      <w:r w:rsidR="004A2A0E" w:rsidRPr="00BE7FAB">
        <w:rPr>
          <w:color w:val="17365D" w:themeColor="text2" w:themeShade="BF"/>
          <w:sz w:val="24"/>
          <w:szCs w:val="24"/>
        </w:rPr>
        <w:t xml:space="preserve"> sobre </w:t>
      </w:r>
      <w:r w:rsidR="005E6643" w:rsidRPr="00BE7FAB">
        <w:rPr>
          <w:color w:val="17365D" w:themeColor="text2" w:themeShade="BF"/>
          <w:sz w:val="24"/>
          <w:szCs w:val="24"/>
        </w:rPr>
        <w:t>la</w:t>
      </w:r>
      <w:r w:rsidR="004A2A0E" w:rsidRPr="00BE7FAB">
        <w:rPr>
          <w:color w:val="17365D" w:themeColor="text2" w:themeShade="BF"/>
          <w:sz w:val="24"/>
          <w:szCs w:val="24"/>
        </w:rPr>
        <w:t xml:space="preserve"> infección por el VNO en humanos en España</w:t>
      </w:r>
      <w:r w:rsidR="005E6643" w:rsidRPr="00BE7FAB">
        <w:rPr>
          <w:color w:val="17365D" w:themeColor="text2" w:themeShade="BF"/>
          <w:sz w:val="24"/>
          <w:szCs w:val="24"/>
        </w:rPr>
        <w:t xml:space="preserve"> en la temporada 2021</w:t>
      </w:r>
      <w:r w:rsidRPr="00BE7FAB">
        <w:rPr>
          <w:color w:val="17365D" w:themeColor="text2" w:themeShade="BF"/>
          <w:sz w:val="24"/>
          <w:szCs w:val="24"/>
        </w:rPr>
        <w:t xml:space="preserve">, </w:t>
      </w:r>
      <w:r w:rsidRPr="00BE7FAB">
        <w:rPr>
          <w:b/>
          <w:color w:val="17365D" w:themeColor="text2" w:themeShade="BF"/>
          <w:sz w:val="24"/>
          <w:szCs w:val="24"/>
        </w:rPr>
        <w:t xml:space="preserve">la delimitación de la zona de riesgo correspondería a la provincia de Sevilla. </w:t>
      </w:r>
      <w:r w:rsidR="004A2A0E" w:rsidRPr="00BE7FAB">
        <w:rPr>
          <w:color w:val="17365D" w:themeColor="text2" w:themeShade="BF"/>
          <w:sz w:val="24"/>
          <w:szCs w:val="24"/>
        </w:rPr>
        <w:t>A esta área de riesgo hay que sumar las definidas en otros países por la presencia de casos humanos</w:t>
      </w:r>
      <w:r w:rsidR="00B36D1F" w:rsidRPr="00BE7FAB">
        <w:rPr>
          <w:color w:val="17365D" w:themeColor="text2" w:themeShade="BF"/>
          <w:sz w:val="24"/>
          <w:szCs w:val="24"/>
        </w:rPr>
        <w:t xml:space="preserve"> (ninguno por el momento)</w:t>
      </w:r>
      <w:r w:rsidR="004A2A0E" w:rsidRPr="00BE7FAB">
        <w:rPr>
          <w:color w:val="17365D" w:themeColor="text2" w:themeShade="BF"/>
          <w:sz w:val="24"/>
          <w:szCs w:val="24"/>
        </w:rPr>
        <w:t>.</w:t>
      </w:r>
      <w:r w:rsidR="004A2A0E" w:rsidRPr="00BE7FAB">
        <w:rPr>
          <w:b/>
          <w:color w:val="17365D" w:themeColor="text2" w:themeShade="BF"/>
          <w:sz w:val="24"/>
          <w:szCs w:val="24"/>
        </w:rPr>
        <w:t xml:space="preserve"> </w:t>
      </w:r>
      <w:r w:rsidR="008B57A6" w:rsidRPr="00BE7FAB">
        <w:rPr>
          <w:color w:val="17365D" w:themeColor="text2" w:themeShade="BF"/>
          <w:sz w:val="24"/>
          <w:szCs w:val="24"/>
        </w:rPr>
        <w:t>Es posible que a lo largo de la temporada de circulación del VNO aparezcan nuevas áreas afectadas, con mayor probabilidad para aqu</w:t>
      </w:r>
      <w:r w:rsidR="001E47DA" w:rsidRPr="00BE7FAB">
        <w:rPr>
          <w:color w:val="17365D" w:themeColor="text2" w:themeShade="BF"/>
          <w:sz w:val="24"/>
          <w:szCs w:val="24"/>
        </w:rPr>
        <w:t>e</w:t>
      </w:r>
      <w:r w:rsidR="008B57A6" w:rsidRPr="00BE7FAB">
        <w:rPr>
          <w:color w:val="17365D" w:themeColor="text2" w:themeShade="BF"/>
          <w:sz w:val="24"/>
          <w:szCs w:val="24"/>
        </w:rPr>
        <w:t>llas en las que se presentaron casos humanos o focos equinos en años anteriores. Se informará a la red de dichos cambios.</w:t>
      </w:r>
    </w:p>
    <w:p w14:paraId="4800D507" w14:textId="35E0BE15" w:rsidR="00F03197" w:rsidRPr="00C47926" w:rsidRDefault="00F03197" w:rsidP="00F03197">
      <w:pPr>
        <w:pStyle w:val="Textosinformato"/>
        <w:spacing w:line="360" w:lineRule="auto"/>
        <w:jc w:val="both"/>
        <w:rPr>
          <w:b/>
          <w:color w:val="17365D" w:themeColor="text2" w:themeShade="BF"/>
          <w:sz w:val="24"/>
          <w:szCs w:val="24"/>
        </w:rPr>
      </w:pPr>
      <w:r w:rsidRPr="00C47926">
        <w:rPr>
          <w:b/>
          <w:color w:val="17365D" w:themeColor="text2" w:themeShade="BF"/>
          <w:sz w:val="24"/>
          <w:szCs w:val="24"/>
        </w:rPr>
        <w:t>Salvo que se especifique lo contrario, la presente recomendación estará vigente hasta la finalización del mes de noviembre de 202</w:t>
      </w:r>
      <w:r w:rsidR="00B36D1F">
        <w:rPr>
          <w:b/>
          <w:color w:val="17365D" w:themeColor="text2" w:themeShade="BF"/>
          <w:sz w:val="24"/>
          <w:szCs w:val="24"/>
        </w:rPr>
        <w:t>1</w:t>
      </w:r>
      <w:r w:rsidRPr="00C47926">
        <w:rPr>
          <w:b/>
          <w:color w:val="17365D" w:themeColor="text2" w:themeShade="BF"/>
          <w:sz w:val="24"/>
          <w:szCs w:val="24"/>
        </w:rPr>
        <w:t xml:space="preserve">. </w:t>
      </w:r>
    </w:p>
    <w:p w14:paraId="33F921FC" w14:textId="77777777" w:rsidR="00F03197" w:rsidRDefault="00F03197" w:rsidP="00F03197">
      <w:pPr>
        <w:spacing w:after="0" w:line="360" w:lineRule="auto"/>
        <w:jc w:val="both"/>
        <w:rPr>
          <w:rFonts w:eastAsia="Times New Roman" w:cstheme="minorHAnsi"/>
          <w:b/>
          <w:color w:val="17365D" w:themeColor="text2" w:themeShade="BF"/>
          <w:sz w:val="24"/>
          <w:szCs w:val="24"/>
          <w:lang w:eastAsia="es-ES"/>
        </w:rPr>
      </w:pPr>
    </w:p>
    <w:p w14:paraId="29DE441D" w14:textId="77777777" w:rsidR="00F03197" w:rsidRPr="00C47926" w:rsidRDefault="00F03197" w:rsidP="00F03197">
      <w:pPr>
        <w:pStyle w:val="Default"/>
        <w:spacing w:line="360" w:lineRule="auto"/>
        <w:jc w:val="both"/>
        <w:rPr>
          <w:rFonts w:asciiTheme="minorHAnsi" w:hAnsiTheme="minorHAnsi" w:cstheme="minorHAnsi"/>
          <w:b/>
          <w:color w:val="17365D" w:themeColor="text2" w:themeShade="BF"/>
        </w:rPr>
      </w:pPr>
      <w:r w:rsidRPr="00C47926">
        <w:rPr>
          <w:rFonts w:asciiTheme="minorHAnsi" w:hAnsiTheme="minorHAnsi" w:cstheme="minorHAnsi"/>
          <w:b/>
          <w:color w:val="17365D" w:themeColor="text2" w:themeShade="BF"/>
        </w:rPr>
        <w:t xml:space="preserve">RECOMENDACIONES PARA LA DONACIÓN DE ÓRGANOS:  </w:t>
      </w:r>
    </w:p>
    <w:p w14:paraId="3DE1348F" w14:textId="67402AAF" w:rsidR="00F03197" w:rsidRPr="00BE7FAB" w:rsidRDefault="00F03197" w:rsidP="00F03197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/>
          <w:color w:val="17365D" w:themeColor="text2" w:themeShade="BF"/>
          <w:sz w:val="24"/>
          <w:szCs w:val="24"/>
        </w:rPr>
      </w:pPr>
      <w:r w:rsidRPr="00BE7FAB">
        <w:rPr>
          <w:rFonts w:asciiTheme="minorHAnsi" w:hAnsiTheme="minorHAnsi"/>
          <w:color w:val="17365D" w:themeColor="text2" w:themeShade="BF"/>
          <w:sz w:val="24"/>
          <w:szCs w:val="24"/>
        </w:rPr>
        <w:t xml:space="preserve">En todo donante ha de estudiarse el antecedente de </w:t>
      </w:r>
      <w:r w:rsidR="00BA0CD8" w:rsidRPr="00BE7FAB">
        <w:rPr>
          <w:rFonts w:asciiTheme="minorHAnsi" w:hAnsiTheme="minorHAnsi"/>
          <w:color w:val="17365D" w:themeColor="text2" w:themeShade="BF"/>
          <w:sz w:val="24"/>
          <w:szCs w:val="24"/>
        </w:rPr>
        <w:t>visita o residencia en</w:t>
      </w:r>
      <w:r w:rsidRPr="00BE7FAB">
        <w:rPr>
          <w:rFonts w:asciiTheme="minorHAnsi" w:hAnsiTheme="minorHAnsi"/>
          <w:color w:val="17365D" w:themeColor="text2" w:themeShade="BF"/>
          <w:sz w:val="24"/>
          <w:szCs w:val="24"/>
        </w:rPr>
        <w:t xml:space="preserve"> zonas de riesgo en los 28 días previos a la donación. </w:t>
      </w:r>
    </w:p>
    <w:p w14:paraId="2F1D39FE" w14:textId="1D6EDE21" w:rsidR="00F03197" w:rsidRPr="00BE7FAB" w:rsidRDefault="00F03197" w:rsidP="00C47926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Theme="minorHAnsi" w:eastAsia="Times New Roman" w:hAnsiTheme="minorHAnsi" w:cstheme="minorHAnsi"/>
          <w:color w:val="17365D" w:themeColor="text2" w:themeShade="BF"/>
          <w:sz w:val="24"/>
          <w:szCs w:val="24"/>
          <w:lang w:eastAsia="es-ES"/>
        </w:rPr>
      </w:pPr>
      <w:r w:rsidRPr="00BE7FAB">
        <w:rPr>
          <w:rFonts w:asciiTheme="minorHAnsi" w:eastAsia="Times New Roman" w:hAnsiTheme="minorHAnsi" w:cstheme="minorHAnsi"/>
          <w:color w:val="17365D" w:themeColor="text2" w:themeShade="BF"/>
          <w:sz w:val="24"/>
          <w:szCs w:val="24"/>
          <w:lang w:eastAsia="es-ES"/>
        </w:rPr>
        <w:t xml:space="preserve">En potenciales donantes que hayan residido o </w:t>
      </w:r>
      <w:r w:rsidR="00BA0CD8" w:rsidRPr="00BE7FAB">
        <w:rPr>
          <w:rFonts w:asciiTheme="minorHAnsi" w:eastAsia="Times New Roman" w:hAnsiTheme="minorHAnsi" w:cstheme="minorHAnsi"/>
          <w:color w:val="17365D" w:themeColor="text2" w:themeShade="BF"/>
          <w:sz w:val="24"/>
          <w:szCs w:val="24"/>
          <w:lang w:eastAsia="es-ES"/>
        </w:rPr>
        <w:t>visitado</w:t>
      </w:r>
      <w:r w:rsidRPr="00BE7FAB">
        <w:rPr>
          <w:rFonts w:asciiTheme="minorHAnsi" w:eastAsia="Times New Roman" w:hAnsiTheme="minorHAnsi" w:cstheme="minorHAnsi"/>
          <w:color w:val="17365D" w:themeColor="text2" w:themeShade="BF"/>
          <w:sz w:val="24"/>
          <w:szCs w:val="24"/>
          <w:lang w:eastAsia="es-ES"/>
        </w:rPr>
        <w:t xml:space="preserve"> zonas de riesgo en los 28 días previos a la donación, se cursará determinación de VNO por PCR</w:t>
      </w:r>
      <w:r w:rsidR="002008C2" w:rsidRPr="00BE7FAB">
        <w:rPr>
          <w:rFonts w:asciiTheme="minorHAnsi" w:eastAsia="Times New Roman" w:hAnsiTheme="minorHAnsi" w:cstheme="minorHAnsi"/>
          <w:color w:val="17365D" w:themeColor="text2" w:themeShade="BF"/>
          <w:sz w:val="24"/>
          <w:szCs w:val="24"/>
          <w:lang w:eastAsia="es-ES"/>
        </w:rPr>
        <w:t xml:space="preserve"> (en sangre, y si es posible, también en orina)</w:t>
      </w:r>
      <w:r w:rsidRPr="00BE7FAB">
        <w:rPr>
          <w:rFonts w:asciiTheme="minorHAnsi" w:eastAsia="Times New Roman" w:hAnsiTheme="minorHAnsi" w:cstheme="minorHAnsi"/>
          <w:color w:val="17365D" w:themeColor="text2" w:themeShade="BF"/>
          <w:sz w:val="24"/>
          <w:szCs w:val="24"/>
          <w:lang w:eastAsia="es-ES"/>
        </w:rPr>
        <w:t xml:space="preserve">. En caso de determinación positiva, se desestimará la donación. En caso de no poder realizarse la determinación, se realizará una valoración individualizada riesgo/beneficio sobre la conveniencia </w:t>
      </w:r>
      <w:r w:rsidRPr="00BE7FAB">
        <w:rPr>
          <w:rFonts w:asciiTheme="minorHAnsi" w:eastAsia="Times New Roman" w:hAnsiTheme="minorHAnsi" w:cstheme="minorHAnsi"/>
          <w:color w:val="17365D" w:themeColor="text2" w:themeShade="BF"/>
          <w:sz w:val="24"/>
          <w:szCs w:val="24"/>
          <w:lang w:eastAsia="es-ES"/>
        </w:rPr>
        <w:lastRenderedPageBreak/>
        <w:t>de continuar o desestimar la donación</w:t>
      </w:r>
      <w:r w:rsidR="00F9735B" w:rsidRPr="00BE7FAB">
        <w:rPr>
          <w:rFonts w:asciiTheme="minorHAnsi" w:eastAsia="Times New Roman" w:hAnsiTheme="minorHAnsi" w:cstheme="minorHAnsi"/>
          <w:color w:val="17365D" w:themeColor="text2" w:themeShade="BF"/>
          <w:sz w:val="24"/>
          <w:szCs w:val="24"/>
          <w:lang w:eastAsia="es-ES"/>
        </w:rPr>
        <w:t xml:space="preserve">. De procederse con el trasplante, se realizará un seguimiento estrecho de los receptores. </w:t>
      </w:r>
    </w:p>
    <w:p w14:paraId="4ABFF4F0" w14:textId="00D9951F" w:rsidR="00F03197" w:rsidRPr="00BE7FAB" w:rsidRDefault="00F03197" w:rsidP="00F1496C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Theme="minorHAnsi" w:eastAsia="Times New Roman" w:hAnsiTheme="minorHAnsi" w:cstheme="minorHAnsi"/>
          <w:color w:val="17365D" w:themeColor="text2" w:themeShade="BF"/>
          <w:sz w:val="24"/>
          <w:szCs w:val="24"/>
          <w:lang w:eastAsia="es-ES"/>
        </w:rPr>
      </w:pPr>
      <w:r w:rsidRPr="00BE7FAB">
        <w:rPr>
          <w:rFonts w:asciiTheme="minorHAnsi" w:eastAsia="Times New Roman" w:hAnsiTheme="minorHAnsi" w:cstheme="minorHAnsi"/>
          <w:color w:val="17365D" w:themeColor="text2" w:themeShade="BF"/>
          <w:sz w:val="24"/>
          <w:szCs w:val="24"/>
          <w:lang w:eastAsia="es-ES"/>
        </w:rPr>
        <w:t xml:space="preserve">En el caso de un donante vivo de órganos que haya visitado una zona de riesgo, </w:t>
      </w:r>
      <w:r w:rsidR="00F1496C" w:rsidRPr="00BE7FAB">
        <w:rPr>
          <w:rFonts w:asciiTheme="minorHAnsi" w:eastAsia="Times New Roman" w:hAnsiTheme="minorHAnsi" w:cstheme="minorHAnsi"/>
          <w:color w:val="17365D" w:themeColor="text2" w:themeShade="BF"/>
          <w:sz w:val="24"/>
          <w:szCs w:val="24"/>
          <w:lang w:eastAsia="es-ES"/>
        </w:rPr>
        <w:t>realizar cribado de VNO por PCR</w:t>
      </w:r>
      <w:r w:rsidR="002008C2" w:rsidRPr="00BE7FAB">
        <w:rPr>
          <w:rFonts w:asciiTheme="minorHAnsi" w:eastAsia="Times New Roman" w:hAnsiTheme="minorHAnsi" w:cstheme="minorHAnsi"/>
          <w:color w:val="17365D" w:themeColor="text2" w:themeShade="BF"/>
          <w:sz w:val="24"/>
          <w:szCs w:val="24"/>
          <w:lang w:eastAsia="es-ES"/>
        </w:rPr>
        <w:t xml:space="preserve"> (en sangre, y si es posible, también en orina)</w:t>
      </w:r>
      <w:r w:rsidR="00F1496C" w:rsidRPr="00BE7FAB">
        <w:rPr>
          <w:rFonts w:asciiTheme="minorHAnsi" w:eastAsia="Times New Roman" w:hAnsiTheme="minorHAnsi" w:cstheme="minorHAnsi"/>
          <w:color w:val="17365D" w:themeColor="text2" w:themeShade="BF"/>
          <w:sz w:val="24"/>
          <w:szCs w:val="24"/>
          <w:lang w:eastAsia="es-ES"/>
        </w:rPr>
        <w:t xml:space="preserve"> o, alternativamente, retrasar la donación un mínimo de 28 días desde su salida del área afectada. </w:t>
      </w:r>
      <w:r w:rsidRPr="00BE7FAB">
        <w:rPr>
          <w:rFonts w:asciiTheme="minorHAnsi" w:eastAsia="Times New Roman" w:hAnsiTheme="minorHAnsi" w:cstheme="minorHAnsi"/>
          <w:color w:val="17365D" w:themeColor="text2" w:themeShade="BF"/>
          <w:sz w:val="24"/>
          <w:szCs w:val="24"/>
          <w:lang w:eastAsia="es-ES"/>
        </w:rPr>
        <w:t xml:space="preserve"> </w:t>
      </w:r>
    </w:p>
    <w:p w14:paraId="07BDE4D2" w14:textId="3C10C7AE" w:rsidR="004A2A0E" w:rsidRDefault="004A2A0E" w:rsidP="006B1857">
      <w:pPr>
        <w:pStyle w:val="Prrafodelista"/>
        <w:spacing w:after="0" w:line="360" w:lineRule="auto"/>
        <w:jc w:val="both"/>
        <w:rPr>
          <w:rFonts w:asciiTheme="minorHAnsi" w:eastAsia="Times New Roman" w:hAnsiTheme="minorHAnsi" w:cstheme="minorHAnsi"/>
          <w:color w:val="17365D" w:themeColor="text2" w:themeShade="BF"/>
          <w:sz w:val="24"/>
          <w:szCs w:val="24"/>
          <w:lang w:eastAsia="es-ES"/>
        </w:rPr>
      </w:pPr>
    </w:p>
    <w:p w14:paraId="4E7A7036" w14:textId="6607B6C9" w:rsidR="00E17E6C" w:rsidRPr="00BA42BE" w:rsidRDefault="00E17E6C" w:rsidP="004366E3">
      <w:pPr>
        <w:spacing w:after="0" w:line="360" w:lineRule="auto"/>
        <w:jc w:val="both"/>
        <w:rPr>
          <w:rFonts w:eastAsia="Times New Roman" w:cstheme="minorHAnsi"/>
          <w:b/>
          <w:color w:val="17365D" w:themeColor="text2" w:themeShade="BF"/>
          <w:sz w:val="24"/>
          <w:szCs w:val="24"/>
          <w:lang w:eastAsia="es-ES"/>
        </w:rPr>
      </w:pPr>
      <w:r w:rsidRPr="00BA42BE">
        <w:rPr>
          <w:rFonts w:eastAsia="Times New Roman" w:cstheme="minorHAnsi"/>
          <w:b/>
          <w:color w:val="17365D" w:themeColor="text2" w:themeShade="BF"/>
          <w:sz w:val="24"/>
          <w:szCs w:val="24"/>
          <w:lang w:eastAsia="es-ES"/>
        </w:rPr>
        <w:t xml:space="preserve">RECOMENDACIONES ESPECÍFICAS PARA </w:t>
      </w:r>
      <w:r w:rsidR="00F03197">
        <w:rPr>
          <w:rFonts w:eastAsia="Times New Roman" w:cstheme="minorHAnsi"/>
          <w:b/>
          <w:color w:val="17365D" w:themeColor="text2" w:themeShade="BF"/>
          <w:sz w:val="24"/>
          <w:szCs w:val="24"/>
          <w:lang w:eastAsia="es-ES"/>
        </w:rPr>
        <w:t xml:space="preserve">LA DONACIÓN DE </w:t>
      </w:r>
      <w:r w:rsidRPr="00BA42BE">
        <w:rPr>
          <w:rFonts w:eastAsia="Times New Roman" w:cstheme="minorHAnsi"/>
          <w:b/>
          <w:color w:val="17365D" w:themeColor="text2" w:themeShade="BF"/>
          <w:sz w:val="24"/>
          <w:szCs w:val="24"/>
          <w:lang w:eastAsia="es-ES"/>
        </w:rPr>
        <w:t>TEJIDOS</w:t>
      </w:r>
      <w:r w:rsidR="00F03197">
        <w:rPr>
          <w:rFonts w:eastAsia="Times New Roman" w:cstheme="minorHAnsi"/>
          <w:b/>
          <w:color w:val="17365D" w:themeColor="text2" w:themeShade="BF"/>
          <w:sz w:val="24"/>
          <w:szCs w:val="24"/>
          <w:lang w:eastAsia="es-ES"/>
        </w:rPr>
        <w:t xml:space="preserve">: </w:t>
      </w:r>
      <w:r w:rsidRPr="00BA42BE">
        <w:rPr>
          <w:rFonts w:eastAsia="Times New Roman" w:cstheme="minorHAnsi"/>
          <w:b/>
          <w:color w:val="17365D" w:themeColor="text2" w:themeShade="BF"/>
          <w:sz w:val="24"/>
          <w:szCs w:val="24"/>
          <w:lang w:eastAsia="es-ES"/>
        </w:rPr>
        <w:t xml:space="preserve"> </w:t>
      </w:r>
    </w:p>
    <w:p w14:paraId="42EB9B9D" w14:textId="7248095C" w:rsidR="00F03197" w:rsidRPr="00BE7FAB" w:rsidRDefault="00F03197" w:rsidP="00F03197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/>
          <w:color w:val="17365D" w:themeColor="text2" w:themeShade="BF"/>
          <w:sz w:val="24"/>
          <w:szCs w:val="24"/>
        </w:rPr>
      </w:pPr>
      <w:r w:rsidRPr="00BE7FAB">
        <w:rPr>
          <w:rFonts w:asciiTheme="minorHAnsi" w:hAnsiTheme="minorHAnsi"/>
          <w:color w:val="17365D" w:themeColor="text2" w:themeShade="BF"/>
          <w:sz w:val="24"/>
          <w:szCs w:val="24"/>
        </w:rPr>
        <w:t xml:space="preserve">En todo donante de tejidos ha de estudiarse el antecedente de residencia o </w:t>
      </w:r>
      <w:r w:rsidR="00BA0CD8" w:rsidRPr="00BE7FAB">
        <w:rPr>
          <w:rFonts w:asciiTheme="minorHAnsi" w:hAnsiTheme="minorHAnsi"/>
          <w:color w:val="17365D" w:themeColor="text2" w:themeShade="BF"/>
          <w:sz w:val="24"/>
          <w:szCs w:val="24"/>
        </w:rPr>
        <w:t>visita a</w:t>
      </w:r>
      <w:r w:rsidRPr="00BE7FAB">
        <w:rPr>
          <w:rFonts w:asciiTheme="minorHAnsi" w:hAnsiTheme="minorHAnsi"/>
          <w:color w:val="17365D" w:themeColor="text2" w:themeShade="BF"/>
          <w:sz w:val="24"/>
          <w:szCs w:val="24"/>
        </w:rPr>
        <w:t xml:space="preserve"> zonas de riesgo en los 28 días previos a la donación. </w:t>
      </w:r>
    </w:p>
    <w:p w14:paraId="2EB1F151" w14:textId="35DDC129" w:rsidR="007A0E26" w:rsidRPr="00BE7FAB" w:rsidRDefault="00F03197" w:rsidP="007C6AD2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/>
          <w:color w:val="17365D" w:themeColor="text2" w:themeShade="BF"/>
          <w:sz w:val="24"/>
          <w:szCs w:val="24"/>
        </w:rPr>
      </w:pPr>
      <w:r w:rsidRPr="00BE7FAB">
        <w:rPr>
          <w:color w:val="17365D" w:themeColor="text2" w:themeShade="BF"/>
          <w:sz w:val="24"/>
          <w:szCs w:val="24"/>
        </w:rPr>
        <w:t xml:space="preserve">Se realizará </w:t>
      </w:r>
      <w:r w:rsidR="00F0763E" w:rsidRPr="00BE7FAB">
        <w:rPr>
          <w:rFonts w:asciiTheme="minorHAnsi" w:hAnsiTheme="minorHAnsi"/>
          <w:color w:val="17365D" w:themeColor="text2" w:themeShade="BF"/>
          <w:sz w:val="24"/>
          <w:szCs w:val="24"/>
        </w:rPr>
        <w:t xml:space="preserve">determinación del </w:t>
      </w:r>
      <w:r w:rsidR="007A0E26" w:rsidRPr="00BE7FAB">
        <w:rPr>
          <w:rFonts w:asciiTheme="minorHAnsi" w:hAnsiTheme="minorHAnsi"/>
          <w:color w:val="17365D" w:themeColor="text2" w:themeShade="BF"/>
          <w:sz w:val="24"/>
          <w:szCs w:val="24"/>
        </w:rPr>
        <w:t xml:space="preserve">VNO </w:t>
      </w:r>
      <w:r w:rsidR="00F0763E" w:rsidRPr="00BE7FAB">
        <w:rPr>
          <w:rFonts w:asciiTheme="minorHAnsi" w:hAnsiTheme="minorHAnsi"/>
          <w:color w:val="17365D" w:themeColor="text2" w:themeShade="BF"/>
          <w:sz w:val="24"/>
          <w:szCs w:val="24"/>
        </w:rPr>
        <w:t xml:space="preserve">por PCR </w:t>
      </w:r>
      <w:r w:rsidR="002008C2" w:rsidRPr="00BE7FAB">
        <w:rPr>
          <w:rFonts w:asciiTheme="minorHAnsi" w:eastAsia="Times New Roman" w:hAnsiTheme="minorHAnsi" w:cstheme="minorHAnsi"/>
          <w:color w:val="17365D" w:themeColor="text2" w:themeShade="BF"/>
          <w:sz w:val="24"/>
          <w:szCs w:val="24"/>
          <w:lang w:eastAsia="es-ES"/>
        </w:rPr>
        <w:t xml:space="preserve">(en sangre, y si es posible, también en orina) </w:t>
      </w:r>
      <w:r w:rsidR="007A0E26" w:rsidRPr="00BE7FAB">
        <w:rPr>
          <w:rFonts w:asciiTheme="minorHAnsi" w:hAnsiTheme="minorHAnsi"/>
          <w:color w:val="17365D" w:themeColor="text2" w:themeShade="BF"/>
          <w:sz w:val="24"/>
          <w:szCs w:val="24"/>
        </w:rPr>
        <w:t xml:space="preserve">a todo donante de tejidos </w:t>
      </w:r>
      <w:r w:rsidR="00F0763E" w:rsidRPr="00BE7FAB">
        <w:rPr>
          <w:rFonts w:asciiTheme="minorHAnsi" w:hAnsiTheme="minorHAnsi"/>
          <w:color w:val="17365D" w:themeColor="text2" w:themeShade="BF"/>
          <w:sz w:val="24"/>
          <w:szCs w:val="24"/>
        </w:rPr>
        <w:t xml:space="preserve">que haya residido o </w:t>
      </w:r>
      <w:r w:rsidR="00BA0CD8" w:rsidRPr="00BE7FAB">
        <w:rPr>
          <w:rFonts w:asciiTheme="minorHAnsi" w:hAnsiTheme="minorHAnsi"/>
          <w:color w:val="17365D" w:themeColor="text2" w:themeShade="BF"/>
          <w:sz w:val="24"/>
          <w:szCs w:val="24"/>
        </w:rPr>
        <w:t>visitado</w:t>
      </w:r>
      <w:r w:rsidR="00F0763E" w:rsidRPr="00BE7FAB">
        <w:rPr>
          <w:rFonts w:asciiTheme="minorHAnsi" w:hAnsiTheme="minorHAnsi"/>
          <w:color w:val="17365D" w:themeColor="text2" w:themeShade="BF"/>
          <w:sz w:val="24"/>
          <w:szCs w:val="24"/>
        </w:rPr>
        <w:t xml:space="preserve"> </w:t>
      </w:r>
      <w:r w:rsidRPr="00BE7FAB">
        <w:rPr>
          <w:rFonts w:asciiTheme="minorHAnsi" w:hAnsiTheme="minorHAnsi"/>
          <w:color w:val="17365D" w:themeColor="text2" w:themeShade="BF"/>
          <w:sz w:val="24"/>
          <w:szCs w:val="24"/>
        </w:rPr>
        <w:t>zonas de riesgo</w:t>
      </w:r>
      <w:r w:rsidR="007A0E26" w:rsidRPr="00BE7FAB">
        <w:rPr>
          <w:rFonts w:asciiTheme="minorHAnsi" w:hAnsiTheme="minorHAnsi"/>
          <w:color w:val="17365D" w:themeColor="text2" w:themeShade="BF"/>
          <w:sz w:val="24"/>
          <w:szCs w:val="24"/>
        </w:rPr>
        <w:t xml:space="preserve"> </w:t>
      </w:r>
      <w:r w:rsidR="00F0763E" w:rsidRPr="00BE7FAB">
        <w:rPr>
          <w:rFonts w:asciiTheme="minorHAnsi" w:hAnsiTheme="minorHAnsi"/>
          <w:color w:val="17365D" w:themeColor="text2" w:themeShade="BF"/>
          <w:sz w:val="24"/>
          <w:szCs w:val="24"/>
        </w:rPr>
        <w:t>en los 28 días previos a la donación</w:t>
      </w:r>
      <w:r w:rsidR="007A0E26" w:rsidRPr="00BE7FAB">
        <w:rPr>
          <w:rFonts w:asciiTheme="minorHAnsi" w:hAnsiTheme="minorHAnsi"/>
          <w:color w:val="17365D" w:themeColor="text2" w:themeShade="BF"/>
          <w:sz w:val="24"/>
          <w:szCs w:val="24"/>
        </w:rPr>
        <w:t xml:space="preserve">. </w:t>
      </w:r>
    </w:p>
    <w:p w14:paraId="7FE089EF" w14:textId="098114A7" w:rsidR="007A0E26" w:rsidRDefault="00F0763E" w:rsidP="007C6AD2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/>
          <w:color w:val="17365D" w:themeColor="text2" w:themeShade="BF"/>
          <w:sz w:val="24"/>
          <w:szCs w:val="24"/>
        </w:rPr>
      </w:pPr>
      <w:r w:rsidRPr="00BE7FAB">
        <w:rPr>
          <w:rFonts w:asciiTheme="minorHAnsi" w:hAnsiTheme="minorHAnsi"/>
          <w:color w:val="17365D" w:themeColor="text2" w:themeShade="BF"/>
          <w:sz w:val="24"/>
          <w:szCs w:val="24"/>
        </w:rPr>
        <w:t xml:space="preserve">Se recomienda </w:t>
      </w:r>
      <w:proofErr w:type="spellStart"/>
      <w:r w:rsidR="007A0E26" w:rsidRPr="00BE7FAB">
        <w:rPr>
          <w:rFonts w:asciiTheme="minorHAnsi" w:hAnsiTheme="minorHAnsi"/>
          <w:color w:val="17365D" w:themeColor="text2" w:themeShade="BF"/>
          <w:sz w:val="24"/>
          <w:szCs w:val="24"/>
        </w:rPr>
        <w:t>cuare</w:t>
      </w:r>
      <w:r w:rsidRPr="00BE7FAB">
        <w:rPr>
          <w:rFonts w:asciiTheme="minorHAnsi" w:hAnsiTheme="minorHAnsi"/>
          <w:color w:val="17365D" w:themeColor="text2" w:themeShade="BF"/>
          <w:sz w:val="24"/>
          <w:szCs w:val="24"/>
        </w:rPr>
        <w:t>nte</w:t>
      </w:r>
      <w:r w:rsidR="007A0E26" w:rsidRPr="00BE7FAB">
        <w:rPr>
          <w:rFonts w:asciiTheme="minorHAnsi" w:hAnsiTheme="minorHAnsi"/>
          <w:color w:val="17365D" w:themeColor="text2" w:themeShade="BF"/>
          <w:sz w:val="24"/>
          <w:szCs w:val="24"/>
        </w:rPr>
        <w:t>na</w:t>
      </w:r>
      <w:r w:rsidRPr="00BE7FAB">
        <w:rPr>
          <w:rFonts w:asciiTheme="minorHAnsi" w:hAnsiTheme="minorHAnsi"/>
          <w:color w:val="17365D" w:themeColor="text2" w:themeShade="BF"/>
          <w:sz w:val="24"/>
          <w:szCs w:val="24"/>
        </w:rPr>
        <w:t>r</w:t>
      </w:r>
      <w:proofErr w:type="spellEnd"/>
      <w:r w:rsidR="007A0E26" w:rsidRPr="00BE7FAB">
        <w:rPr>
          <w:rFonts w:asciiTheme="minorHAnsi" w:hAnsiTheme="minorHAnsi"/>
          <w:color w:val="17365D" w:themeColor="text2" w:themeShade="BF"/>
          <w:sz w:val="24"/>
          <w:szCs w:val="24"/>
        </w:rPr>
        <w:t xml:space="preserve"> los tejidos </w:t>
      </w:r>
      <w:r w:rsidRPr="00BE7FAB">
        <w:rPr>
          <w:rFonts w:asciiTheme="minorHAnsi" w:hAnsiTheme="minorHAnsi"/>
          <w:color w:val="17365D" w:themeColor="text2" w:themeShade="BF"/>
          <w:sz w:val="24"/>
          <w:szCs w:val="24"/>
        </w:rPr>
        <w:t>ya</w:t>
      </w:r>
      <w:r w:rsidR="007A0E26" w:rsidRPr="00BE7FAB">
        <w:rPr>
          <w:rFonts w:asciiTheme="minorHAnsi" w:hAnsiTheme="minorHAnsi"/>
          <w:color w:val="17365D" w:themeColor="text2" w:themeShade="BF"/>
          <w:sz w:val="24"/>
          <w:szCs w:val="24"/>
        </w:rPr>
        <w:t xml:space="preserve"> extraídos </w:t>
      </w:r>
      <w:r w:rsidRPr="00BE7FAB">
        <w:rPr>
          <w:rFonts w:asciiTheme="minorHAnsi" w:hAnsiTheme="minorHAnsi"/>
          <w:color w:val="17365D" w:themeColor="text2" w:themeShade="BF"/>
          <w:sz w:val="24"/>
          <w:szCs w:val="24"/>
        </w:rPr>
        <w:t xml:space="preserve">y preservados de donantes que hubieran residido </w:t>
      </w:r>
      <w:r w:rsidR="005A5616">
        <w:rPr>
          <w:rFonts w:asciiTheme="minorHAnsi" w:hAnsiTheme="minorHAnsi"/>
          <w:color w:val="17365D" w:themeColor="text2" w:themeShade="BF"/>
          <w:sz w:val="24"/>
          <w:szCs w:val="24"/>
        </w:rPr>
        <w:t xml:space="preserve">o visitado </w:t>
      </w:r>
      <w:r w:rsidR="008B57A6" w:rsidRPr="00BE7FAB">
        <w:rPr>
          <w:rFonts w:asciiTheme="minorHAnsi" w:hAnsiTheme="minorHAnsi"/>
          <w:color w:val="17365D" w:themeColor="text2" w:themeShade="BF"/>
          <w:sz w:val="24"/>
          <w:szCs w:val="24"/>
        </w:rPr>
        <w:t>zonas de riesgo</w:t>
      </w:r>
      <w:r w:rsidR="00CA64C5" w:rsidRPr="00BE7FAB">
        <w:rPr>
          <w:rFonts w:asciiTheme="minorHAnsi" w:hAnsiTheme="minorHAnsi"/>
          <w:color w:val="17365D" w:themeColor="text2" w:themeShade="BF"/>
          <w:sz w:val="24"/>
          <w:szCs w:val="24"/>
        </w:rPr>
        <w:t xml:space="preserve"> </w:t>
      </w:r>
      <w:r w:rsidR="00B966A8" w:rsidRPr="00BE7FAB">
        <w:rPr>
          <w:rFonts w:asciiTheme="minorHAnsi" w:hAnsiTheme="minorHAnsi"/>
          <w:color w:val="17365D" w:themeColor="text2" w:themeShade="BF"/>
          <w:sz w:val="24"/>
          <w:szCs w:val="24"/>
        </w:rPr>
        <w:t xml:space="preserve">(considerando la fecha de inicio de síntomas: </w:t>
      </w:r>
      <w:r w:rsidR="007A0E26" w:rsidRPr="00BE7FAB">
        <w:rPr>
          <w:rFonts w:asciiTheme="minorHAnsi" w:hAnsiTheme="minorHAnsi"/>
          <w:color w:val="17365D" w:themeColor="text2" w:themeShade="BF"/>
          <w:sz w:val="24"/>
          <w:szCs w:val="24"/>
        </w:rPr>
        <w:t xml:space="preserve">a partir del </w:t>
      </w:r>
      <w:r w:rsidR="00F82FF7" w:rsidRPr="00BE7FAB">
        <w:rPr>
          <w:rFonts w:asciiTheme="minorHAnsi" w:hAnsiTheme="minorHAnsi"/>
          <w:color w:val="17365D" w:themeColor="text2" w:themeShade="BF"/>
          <w:sz w:val="24"/>
          <w:szCs w:val="24"/>
        </w:rPr>
        <w:t xml:space="preserve"> </w:t>
      </w:r>
      <w:r w:rsidR="002008C2" w:rsidRPr="00BE7FAB">
        <w:rPr>
          <w:rFonts w:asciiTheme="minorHAnsi" w:hAnsiTheme="minorHAnsi"/>
          <w:color w:val="17365D" w:themeColor="text2" w:themeShade="BF"/>
          <w:sz w:val="24"/>
          <w:szCs w:val="24"/>
        </w:rPr>
        <w:t>27 de abril</w:t>
      </w:r>
      <w:r w:rsidR="00B36D1F" w:rsidRPr="00BE7FAB">
        <w:rPr>
          <w:rFonts w:asciiTheme="minorHAnsi" w:hAnsiTheme="minorHAnsi"/>
          <w:color w:val="17365D" w:themeColor="text2" w:themeShade="BF"/>
          <w:sz w:val="24"/>
          <w:szCs w:val="24"/>
        </w:rPr>
        <w:t xml:space="preserve"> para la provincia de Sevilla</w:t>
      </w:r>
      <w:r w:rsidR="00B966A8" w:rsidRPr="00BE7FAB">
        <w:rPr>
          <w:rFonts w:asciiTheme="minorHAnsi" w:hAnsiTheme="minorHAnsi"/>
          <w:color w:val="17365D" w:themeColor="text2" w:themeShade="BF"/>
          <w:sz w:val="24"/>
          <w:szCs w:val="24"/>
        </w:rPr>
        <w:t>)</w:t>
      </w:r>
      <w:r w:rsidR="007C6AD2" w:rsidRPr="00BE7FAB">
        <w:rPr>
          <w:rFonts w:asciiTheme="minorHAnsi" w:hAnsiTheme="minorHAnsi"/>
          <w:color w:val="17365D" w:themeColor="text2" w:themeShade="BF"/>
          <w:sz w:val="24"/>
          <w:szCs w:val="24"/>
        </w:rPr>
        <w:t xml:space="preserve">, así como </w:t>
      </w:r>
      <w:r w:rsidRPr="00BE7FAB">
        <w:rPr>
          <w:rFonts w:asciiTheme="minorHAnsi" w:hAnsiTheme="minorHAnsi"/>
          <w:color w:val="17365D" w:themeColor="text2" w:themeShade="BF"/>
          <w:sz w:val="24"/>
          <w:szCs w:val="24"/>
        </w:rPr>
        <w:t>r</w:t>
      </w:r>
      <w:r w:rsidR="007A0E26" w:rsidRPr="00BE7FAB">
        <w:rPr>
          <w:rFonts w:asciiTheme="minorHAnsi" w:hAnsiTheme="minorHAnsi"/>
          <w:color w:val="17365D" w:themeColor="text2" w:themeShade="BF"/>
          <w:sz w:val="24"/>
          <w:szCs w:val="24"/>
        </w:rPr>
        <w:t xml:space="preserve">escatar muestra de </w:t>
      </w:r>
      <w:proofErr w:type="spellStart"/>
      <w:r w:rsidR="007A0E26" w:rsidRPr="00BE7FAB">
        <w:rPr>
          <w:rFonts w:asciiTheme="minorHAnsi" w:hAnsiTheme="minorHAnsi"/>
          <w:color w:val="17365D" w:themeColor="text2" w:themeShade="BF"/>
          <w:sz w:val="24"/>
          <w:szCs w:val="24"/>
        </w:rPr>
        <w:t>seroteca</w:t>
      </w:r>
      <w:proofErr w:type="spellEnd"/>
      <w:r w:rsidR="007A0E26" w:rsidRPr="00BE7FAB">
        <w:rPr>
          <w:rFonts w:asciiTheme="minorHAnsi" w:hAnsiTheme="minorHAnsi"/>
          <w:color w:val="17365D" w:themeColor="text2" w:themeShade="BF"/>
          <w:sz w:val="24"/>
          <w:szCs w:val="24"/>
        </w:rPr>
        <w:t xml:space="preserve"> y </w:t>
      </w:r>
      <w:r w:rsidRPr="00BE7FAB">
        <w:rPr>
          <w:rFonts w:asciiTheme="minorHAnsi" w:hAnsiTheme="minorHAnsi"/>
          <w:color w:val="17365D" w:themeColor="text2" w:themeShade="BF"/>
          <w:sz w:val="24"/>
          <w:szCs w:val="24"/>
        </w:rPr>
        <w:t xml:space="preserve">realizar determinación por PCR de </w:t>
      </w:r>
      <w:r w:rsidR="007A0E26" w:rsidRPr="00BE7FAB">
        <w:rPr>
          <w:rFonts w:asciiTheme="minorHAnsi" w:hAnsiTheme="minorHAnsi"/>
          <w:color w:val="17365D" w:themeColor="text2" w:themeShade="BF"/>
          <w:sz w:val="24"/>
          <w:szCs w:val="24"/>
        </w:rPr>
        <w:t>VNO</w:t>
      </w:r>
      <w:r w:rsidR="00BC4852" w:rsidRPr="00BE7FAB">
        <w:rPr>
          <w:rFonts w:asciiTheme="minorHAnsi" w:hAnsiTheme="minorHAnsi"/>
          <w:color w:val="17365D" w:themeColor="text2" w:themeShade="BF"/>
          <w:sz w:val="24"/>
          <w:szCs w:val="24"/>
        </w:rPr>
        <w:t xml:space="preserve"> </w:t>
      </w:r>
      <w:r w:rsidR="00BC4852" w:rsidRPr="00BE7FAB">
        <w:rPr>
          <w:rFonts w:asciiTheme="minorHAnsi" w:eastAsia="Times New Roman" w:hAnsiTheme="minorHAnsi" w:cstheme="minorHAnsi"/>
          <w:color w:val="17365D" w:themeColor="text2" w:themeShade="BF"/>
          <w:sz w:val="24"/>
          <w:szCs w:val="24"/>
          <w:lang w:eastAsia="es-ES"/>
        </w:rPr>
        <w:t>(en sangre, y si es posible, también en orina)</w:t>
      </w:r>
      <w:r w:rsidR="007A0E26" w:rsidRPr="00BE7FAB">
        <w:rPr>
          <w:rFonts w:asciiTheme="minorHAnsi" w:hAnsiTheme="minorHAnsi"/>
          <w:color w:val="17365D" w:themeColor="text2" w:themeShade="BF"/>
          <w:sz w:val="24"/>
          <w:szCs w:val="24"/>
        </w:rPr>
        <w:t>.</w:t>
      </w:r>
    </w:p>
    <w:p w14:paraId="36EC5665" w14:textId="77777777" w:rsidR="00471EEA" w:rsidRPr="00BE7FAB" w:rsidRDefault="00471EEA" w:rsidP="00471EEA">
      <w:pPr>
        <w:pStyle w:val="Prrafodelista"/>
        <w:spacing w:after="0" w:line="360" w:lineRule="auto"/>
        <w:jc w:val="both"/>
        <w:rPr>
          <w:rFonts w:asciiTheme="minorHAnsi" w:hAnsiTheme="minorHAnsi"/>
          <w:color w:val="17365D" w:themeColor="text2" w:themeShade="BF"/>
          <w:sz w:val="24"/>
          <w:szCs w:val="24"/>
        </w:rPr>
      </w:pPr>
    </w:p>
    <w:p w14:paraId="564A6313" w14:textId="1971B187" w:rsidR="007A0E26" w:rsidRPr="00BA42BE" w:rsidRDefault="007A0E26" w:rsidP="007A0E26">
      <w:pPr>
        <w:spacing w:after="0" w:line="360" w:lineRule="auto"/>
        <w:jc w:val="both"/>
        <w:rPr>
          <w:rFonts w:eastAsia="Times New Roman" w:cstheme="minorHAnsi"/>
          <w:b/>
          <w:color w:val="17365D" w:themeColor="text2" w:themeShade="BF"/>
          <w:sz w:val="24"/>
          <w:szCs w:val="24"/>
          <w:lang w:eastAsia="es-ES"/>
        </w:rPr>
      </w:pPr>
      <w:r w:rsidRPr="00BA42BE">
        <w:rPr>
          <w:rFonts w:eastAsia="Times New Roman" w:cstheme="minorHAnsi"/>
          <w:b/>
          <w:color w:val="17365D" w:themeColor="text2" w:themeShade="BF"/>
          <w:sz w:val="24"/>
          <w:szCs w:val="24"/>
          <w:lang w:eastAsia="es-ES"/>
        </w:rPr>
        <w:t xml:space="preserve">RECOMENDACIONES ESPECÍFICAS PARA </w:t>
      </w:r>
      <w:r w:rsidR="008B57A6">
        <w:rPr>
          <w:rFonts w:eastAsia="Times New Roman" w:cstheme="minorHAnsi"/>
          <w:b/>
          <w:color w:val="17365D" w:themeColor="text2" w:themeShade="BF"/>
          <w:sz w:val="24"/>
          <w:szCs w:val="24"/>
          <w:lang w:eastAsia="es-ES"/>
        </w:rPr>
        <w:t xml:space="preserve">LA DONACIÓN DE PROGENITORES HEMATOPOYÉTICOS: </w:t>
      </w:r>
      <w:r w:rsidRPr="00BA42BE">
        <w:rPr>
          <w:rFonts w:eastAsia="Times New Roman" w:cstheme="minorHAnsi"/>
          <w:b/>
          <w:color w:val="17365D" w:themeColor="text2" w:themeShade="BF"/>
          <w:sz w:val="24"/>
          <w:szCs w:val="24"/>
          <w:lang w:eastAsia="es-ES"/>
        </w:rPr>
        <w:t xml:space="preserve"> </w:t>
      </w:r>
    </w:p>
    <w:p w14:paraId="4A0B0C1F" w14:textId="0AC4836A" w:rsidR="008700E5" w:rsidRDefault="000F2F58" w:rsidP="008700E5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/>
          <w:color w:val="17365D" w:themeColor="text2" w:themeShade="BF"/>
          <w:sz w:val="24"/>
          <w:szCs w:val="24"/>
        </w:rPr>
      </w:pPr>
      <w:r w:rsidRPr="00C47926">
        <w:rPr>
          <w:rFonts w:asciiTheme="minorHAnsi" w:hAnsiTheme="minorHAnsi"/>
          <w:color w:val="17365D" w:themeColor="text2" w:themeShade="BF"/>
          <w:sz w:val="24"/>
          <w:szCs w:val="24"/>
        </w:rPr>
        <w:t xml:space="preserve">En el caso </w:t>
      </w:r>
      <w:r w:rsidR="0041729C">
        <w:rPr>
          <w:rFonts w:asciiTheme="minorHAnsi" w:hAnsiTheme="minorHAnsi"/>
          <w:color w:val="17365D" w:themeColor="text2" w:themeShade="BF"/>
          <w:sz w:val="24"/>
          <w:szCs w:val="24"/>
        </w:rPr>
        <w:t xml:space="preserve">de </w:t>
      </w:r>
      <w:r w:rsidR="002B6154" w:rsidRPr="00C47926">
        <w:rPr>
          <w:rFonts w:asciiTheme="minorHAnsi" w:hAnsiTheme="minorHAnsi"/>
          <w:color w:val="17365D" w:themeColor="text2" w:themeShade="BF"/>
          <w:sz w:val="24"/>
          <w:szCs w:val="24"/>
        </w:rPr>
        <w:t>donante</w:t>
      </w:r>
      <w:r w:rsidR="00F708D7">
        <w:rPr>
          <w:rFonts w:asciiTheme="minorHAnsi" w:hAnsiTheme="minorHAnsi"/>
          <w:color w:val="17365D" w:themeColor="text2" w:themeShade="BF"/>
          <w:sz w:val="24"/>
          <w:szCs w:val="24"/>
        </w:rPr>
        <w:t>s</w:t>
      </w:r>
      <w:r w:rsidR="002B6154" w:rsidRPr="00C47926">
        <w:rPr>
          <w:rFonts w:asciiTheme="minorHAnsi" w:hAnsiTheme="minorHAnsi"/>
          <w:color w:val="17365D" w:themeColor="text2" w:themeShade="BF"/>
          <w:sz w:val="24"/>
          <w:szCs w:val="24"/>
        </w:rPr>
        <w:t xml:space="preserve"> de </w:t>
      </w:r>
      <w:r w:rsidR="00F708D7">
        <w:rPr>
          <w:rFonts w:asciiTheme="minorHAnsi" w:hAnsiTheme="minorHAnsi"/>
          <w:color w:val="17365D" w:themeColor="text2" w:themeShade="BF"/>
          <w:sz w:val="24"/>
          <w:szCs w:val="24"/>
        </w:rPr>
        <w:t>progenitores hematopoyéticos</w:t>
      </w:r>
      <w:r w:rsidR="00F708D7" w:rsidRPr="00C47926">
        <w:rPr>
          <w:rFonts w:asciiTheme="minorHAnsi" w:hAnsiTheme="minorHAnsi"/>
          <w:color w:val="17365D" w:themeColor="text2" w:themeShade="BF"/>
          <w:sz w:val="24"/>
          <w:szCs w:val="24"/>
        </w:rPr>
        <w:t xml:space="preserve"> </w:t>
      </w:r>
      <w:r w:rsidRPr="00C47926">
        <w:rPr>
          <w:rFonts w:asciiTheme="minorHAnsi" w:hAnsiTheme="minorHAnsi"/>
          <w:color w:val="17365D" w:themeColor="text2" w:themeShade="BF"/>
          <w:sz w:val="24"/>
          <w:szCs w:val="24"/>
        </w:rPr>
        <w:t>que haya</w:t>
      </w:r>
      <w:r w:rsidR="00F708D7">
        <w:rPr>
          <w:rFonts w:asciiTheme="minorHAnsi" w:hAnsiTheme="minorHAnsi"/>
          <w:color w:val="17365D" w:themeColor="text2" w:themeShade="BF"/>
          <w:sz w:val="24"/>
          <w:szCs w:val="24"/>
        </w:rPr>
        <w:t>n</w:t>
      </w:r>
      <w:r w:rsidRPr="00C47926">
        <w:rPr>
          <w:rFonts w:asciiTheme="minorHAnsi" w:hAnsiTheme="minorHAnsi"/>
          <w:color w:val="17365D" w:themeColor="text2" w:themeShade="BF"/>
          <w:sz w:val="24"/>
          <w:szCs w:val="24"/>
        </w:rPr>
        <w:t xml:space="preserve"> visitado alguna de las áreas afectadas, se intentará </w:t>
      </w:r>
      <w:r w:rsidR="002B6154" w:rsidRPr="00C47926">
        <w:rPr>
          <w:rFonts w:asciiTheme="minorHAnsi" w:hAnsiTheme="minorHAnsi"/>
          <w:color w:val="17365D" w:themeColor="text2" w:themeShade="BF"/>
          <w:sz w:val="24"/>
          <w:szCs w:val="24"/>
        </w:rPr>
        <w:t>posponer la donación al menos 28 días</w:t>
      </w:r>
      <w:r w:rsidRPr="00C47926">
        <w:rPr>
          <w:rFonts w:asciiTheme="minorHAnsi" w:hAnsiTheme="minorHAnsi"/>
          <w:color w:val="17365D" w:themeColor="text2" w:themeShade="BF"/>
          <w:sz w:val="24"/>
          <w:szCs w:val="24"/>
        </w:rPr>
        <w:t xml:space="preserve"> desde </w:t>
      </w:r>
      <w:r w:rsidR="00F708D7">
        <w:rPr>
          <w:rFonts w:asciiTheme="minorHAnsi" w:hAnsiTheme="minorHAnsi"/>
          <w:color w:val="17365D" w:themeColor="text2" w:themeShade="BF"/>
          <w:sz w:val="24"/>
          <w:szCs w:val="24"/>
        </w:rPr>
        <w:t>su</w:t>
      </w:r>
      <w:r w:rsidR="00F708D7" w:rsidRPr="00C47926">
        <w:rPr>
          <w:rFonts w:asciiTheme="minorHAnsi" w:hAnsiTheme="minorHAnsi"/>
          <w:color w:val="17365D" w:themeColor="text2" w:themeShade="BF"/>
          <w:sz w:val="24"/>
          <w:szCs w:val="24"/>
        </w:rPr>
        <w:t xml:space="preserve"> </w:t>
      </w:r>
      <w:r w:rsidRPr="00C47926">
        <w:rPr>
          <w:rFonts w:asciiTheme="minorHAnsi" w:hAnsiTheme="minorHAnsi"/>
          <w:color w:val="17365D" w:themeColor="text2" w:themeShade="BF"/>
          <w:sz w:val="24"/>
          <w:szCs w:val="24"/>
        </w:rPr>
        <w:t xml:space="preserve">salida del área afectada. Si no fuera posible, </w:t>
      </w:r>
      <w:r w:rsidR="008B57A6" w:rsidRPr="008B57A6">
        <w:rPr>
          <w:rFonts w:asciiTheme="minorHAnsi" w:hAnsiTheme="minorHAnsi"/>
          <w:color w:val="17365D" w:themeColor="text2" w:themeShade="BF"/>
          <w:sz w:val="24"/>
          <w:szCs w:val="24"/>
        </w:rPr>
        <w:t>se realizará el cribado de VNO por PCR</w:t>
      </w:r>
      <w:r w:rsidR="00625E03">
        <w:rPr>
          <w:rFonts w:asciiTheme="minorHAnsi" w:hAnsiTheme="minorHAnsi"/>
          <w:color w:val="17365D" w:themeColor="text2" w:themeShade="BF"/>
          <w:sz w:val="24"/>
          <w:szCs w:val="24"/>
        </w:rPr>
        <w:t xml:space="preserve"> </w:t>
      </w:r>
      <w:r w:rsidR="00625E03" w:rsidRPr="00BE7FAB">
        <w:rPr>
          <w:rFonts w:asciiTheme="minorHAnsi" w:eastAsia="Times New Roman" w:hAnsiTheme="minorHAnsi" w:cstheme="minorHAnsi"/>
          <w:color w:val="17365D" w:themeColor="text2" w:themeShade="BF"/>
          <w:sz w:val="24"/>
          <w:szCs w:val="24"/>
          <w:lang w:eastAsia="es-ES"/>
        </w:rPr>
        <w:t>(en sangre, y si es posible, también en orina)</w:t>
      </w:r>
      <w:r w:rsidR="008B57A6" w:rsidRPr="008B57A6">
        <w:rPr>
          <w:rFonts w:asciiTheme="minorHAnsi" w:hAnsiTheme="minorHAnsi"/>
          <w:color w:val="17365D" w:themeColor="text2" w:themeShade="BF"/>
          <w:sz w:val="24"/>
          <w:szCs w:val="24"/>
        </w:rPr>
        <w:t xml:space="preserve">. </w:t>
      </w:r>
    </w:p>
    <w:p w14:paraId="2BD314C7" w14:textId="77777777" w:rsidR="00BE7FAB" w:rsidRDefault="00BE7FAB" w:rsidP="00010852">
      <w:pPr>
        <w:spacing w:after="0" w:line="360" w:lineRule="auto"/>
        <w:ind w:left="360"/>
        <w:jc w:val="both"/>
        <w:rPr>
          <w:b/>
          <w:i/>
          <w:color w:val="17365D" w:themeColor="text2" w:themeShade="BF"/>
          <w:sz w:val="24"/>
          <w:szCs w:val="24"/>
        </w:rPr>
      </w:pPr>
    </w:p>
    <w:p w14:paraId="76D0C60F" w14:textId="74BDCE9D" w:rsidR="008700E5" w:rsidRDefault="008700E5" w:rsidP="00010852">
      <w:pPr>
        <w:spacing w:after="0" w:line="360" w:lineRule="auto"/>
        <w:ind w:left="360"/>
        <w:jc w:val="both"/>
        <w:rPr>
          <w:i/>
          <w:color w:val="17365D" w:themeColor="text2" w:themeShade="BF"/>
          <w:sz w:val="24"/>
          <w:szCs w:val="24"/>
        </w:rPr>
      </w:pPr>
      <w:r w:rsidRPr="00F1496C">
        <w:rPr>
          <w:b/>
          <w:i/>
          <w:color w:val="17365D" w:themeColor="text2" w:themeShade="BF"/>
          <w:sz w:val="24"/>
          <w:szCs w:val="24"/>
        </w:rPr>
        <w:t>NOTA:</w:t>
      </w:r>
      <w:r w:rsidRPr="00F1496C">
        <w:rPr>
          <w:i/>
          <w:color w:val="17365D" w:themeColor="text2" w:themeShade="BF"/>
          <w:sz w:val="24"/>
          <w:szCs w:val="24"/>
        </w:rPr>
        <w:t xml:space="preserve"> Estas recomendaciones van dirigidas de forma específica a órganos, células y tejidos, no siendo aplicables a otras sustancias de origen humano.</w:t>
      </w:r>
    </w:p>
    <w:p w14:paraId="600AF498" w14:textId="77777777" w:rsidR="00010852" w:rsidRDefault="00010852" w:rsidP="00010852">
      <w:pPr>
        <w:spacing w:after="0" w:line="360" w:lineRule="auto"/>
        <w:ind w:left="360"/>
        <w:jc w:val="both"/>
        <w:rPr>
          <w:i/>
          <w:color w:val="17365D" w:themeColor="text2" w:themeShade="BF"/>
          <w:sz w:val="24"/>
          <w:szCs w:val="24"/>
        </w:rPr>
      </w:pPr>
    </w:p>
    <w:p w14:paraId="566C48A9" w14:textId="77777777" w:rsidR="005A5616" w:rsidRDefault="005A5616" w:rsidP="00010852">
      <w:pPr>
        <w:spacing w:after="0" w:line="360" w:lineRule="auto"/>
        <w:ind w:left="360"/>
        <w:jc w:val="both"/>
        <w:rPr>
          <w:i/>
          <w:color w:val="17365D" w:themeColor="text2" w:themeShade="BF"/>
          <w:sz w:val="24"/>
          <w:szCs w:val="24"/>
        </w:rPr>
      </w:pPr>
    </w:p>
    <w:p w14:paraId="132C50F7" w14:textId="77777777" w:rsidR="005A5616" w:rsidRDefault="005A5616" w:rsidP="00010852">
      <w:pPr>
        <w:spacing w:after="0" w:line="360" w:lineRule="auto"/>
        <w:ind w:left="360"/>
        <w:jc w:val="both"/>
        <w:rPr>
          <w:i/>
          <w:color w:val="17365D" w:themeColor="text2" w:themeShade="BF"/>
          <w:sz w:val="24"/>
          <w:szCs w:val="24"/>
        </w:rPr>
      </w:pPr>
    </w:p>
    <w:p w14:paraId="1F564D01" w14:textId="77777777" w:rsidR="00010852" w:rsidRDefault="00010852" w:rsidP="00010852">
      <w:pPr>
        <w:spacing w:after="0" w:line="360" w:lineRule="auto"/>
        <w:ind w:left="360"/>
        <w:jc w:val="both"/>
        <w:rPr>
          <w:i/>
          <w:color w:val="17365D" w:themeColor="text2" w:themeShade="BF"/>
          <w:sz w:val="24"/>
          <w:szCs w:val="24"/>
        </w:rPr>
      </w:pPr>
    </w:p>
    <w:p w14:paraId="63B81E7A" w14:textId="5464080D" w:rsidR="00855695" w:rsidRPr="00BA42BE" w:rsidRDefault="00855695" w:rsidP="00855695">
      <w:pPr>
        <w:shd w:val="clear" w:color="auto" w:fill="B8CCE4" w:themeFill="accent1" w:themeFillTint="66"/>
        <w:autoSpaceDE w:val="0"/>
        <w:autoSpaceDN w:val="0"/>
        <w:adjustRightInd w:val="0"/>
        <w:spacing w:before="120" w:after="120"/>
        <w:jc w:val="both"/>
        <w:rPr>
          <w:rFonts w:eastAsia="Times New Roman" w:cs="Arial"/>
          <w:b/>
          <w:color w:val="17365D" w:themeColor="text2" w:themeShade="BF"/>
          <w:sz w:val="24"/>
          <w:szCs w:val="24"/>
          <w:lang w:eastAsia="es-ES"/>
        </w:rPr>
      </w:pPr>
      <w:r w:rsidRPr="00BA42BE">
        <w:rPr>
          <w:rFonts w:eastAsia="Times New Roman" w:cs="Arial"/>
          <w:b/>
          <w:color w:val="17365D" w:themeColor="text2" w:themeShade="BF"/>
          <w:sz w:val="24"/>
          <w:szCs w:val="24"/>
          <w:lang w:eastAsia="es-ES"/>
        </w:rPr>
        <w:lastRenderedPageBreak/>
        <w:t>DOCUMENTOS DE INTERÉS Y REFERENCIAS</w:t>
      </w:r>
    </w:p>
    <w:p w14:paraId="1586EDCF" w14:textId="0632376F" w:rsidR="006D60B3" w:rsidRPr="0017412F" w:rsidRDefault="006D60B3" w:rsidP="0017412F">
      <w:pPr>
        <w:spacing w:after="0" w:line="360" w:lineRule="auto"/>
        <w:ind w:left="357"/>
        <w:contextualSpacing/>
        <w:jc w:val="both"/>
        <w:rPr>
          <w:rStyle w:val="Hipervnculo"/>
          <w:color w:val="17365D" w:themeColor="text2" w:themeShade="BF"/>
          <w:sz w:val="24"/>
          <w:szCs w:val="24"/>
          <w:u w:val="none"/>
        </w:rPr>
      </w:pPr>
      <w:r w:rsidRPr="0017412F">
        <w:rPr>
          <w:rStyle w:val="Hipervnculo"/>
          <w:color w:val="17365D" w:themeColor="text2" w:themeShade="BF"/>
          <w:sz w:val="24"/>
          <w:szCs w:val="24"/>
          <w:u w:val="none"/>
        </w:rPr>
        <w:t>Informe de situación y evaluación del riesgo de la fiebre por Virus del Nilo Occidental. En España.</w:t>
      </w:r>
      <w:r w:rsidRPr="0017412F">
        <w:rPr>
          <w:color w:val="17365D" w:themeColor="text2" w:themeShade="BF"/>
          <w:sz w:val="24"/>
          <w:szCs w:val="24"/>
        </w:rPr>
        <w:t xml:space="preserve"> </w:t>
      </w:r>
      <w:r w:rsidRPr="0017412F">
        <w:rPr>
          <w:rStyle w:val="Hipervnculo"/>
          <w:color w:val="17365D" w:themeColor="text2" w:themeShade="BF"/>
          <w:sz w:val="24"/>
          <w:szCs w:val="24"/>
          <w:u w:val="none"/>
        </w:rPr>
        <w:t>Centro de Coordinación de Alertas y Emergencias sanitarias (CCAES)</w:t>
      </w:r>
      <w:r w:rsidR="0017412F">
        <w:rPr>
          <w:rStyle w:val="Hipervnculo"/>
          <w:color w:val="17365D" w:themeColor="text2" w:themeShade="BF"/>
          <w:sz w:val="24"/>
          <w:szCs w:val="24"/>
          <w:u w:val="none"/>
        </w:rPr>
        <w:t>.</w:t>
      </w:r>
      <w:r w:rsidR="00C613AC">
        <w:rPr>
          <w:rStyle w:val="Hipervnculo"/>
          <w:color w:val="17365D" w:themeColor="text2" w:themeShade="BF"/>
          <w:sz w:val="24"/>
          <w:szCs w:val="24"/>
          <w:u w:val="none"/>
        </w:rPr>
        <w:t xml:space="preserve"> </w:t>
      </w:r>
      <w:r w:rsidRPr="0017412F">
        <w:rPr>
          <w:rStyle w:val="Hipervnculo"/>
          <w:color w:val="17365D" w:themeColor="text2" w:themeShade="BF"/>
          <w:sz w:val="24"/>
          <w:szCs w:val="24"/>
          <w:u w:val="none"/>
        </w:rPr>
        <w:t xml:space="preserve">Ministerio de Sanidad, Servicios Sociales e Igualdad. Octubre de 2017. Disponible en: </w:t>
      </w:r>
    </w:p>
    <w:p w14:paraId="745DDDE3" w14:textId="77777777" w:rsidR="006D60B3" w:rsidRPr="0017412F" w:rsidRDefault="005E4A8A" w:rsidP="0017412F">
      <w:pPr>
        <w:spacing w:after="0" w:line="360" w:lineRule="auto"/>
        <w:ind w:left="357"/>
        <w:contextualSpacing/>
        <w:jc w:val="both"/>
        <w:rPr>
          <w:rStyle w:val="Hipervnculo"/>
          <w:color w:val="17365D" w:themeColor="text2" w:themeShade="BF"/>
          <w:sz w:val="24"/>
          <w:szCs w:val="24"/>
          <w:u w:val="none"/>
        </w:rPr>
      </w:pPr>
      <w:hyperlink r:id="rId12" w:history="1">
        <w:r w:rsidR="006D60B3" w:rsidRPr="0017412F">
          <w:rPr>
            <w:rStyle w:val="Hipervnculo"/>
            <w:sz w:val="24"/>
            <w:szCs w:val="24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https://www.mscbs.gob.es/profesionales/saludPublica/ccayes/analisisituacion/doc/Evaluacion_de_riesgo-VNO-2017.pdf</w:t>
        </w:r>
      </w:hyperlink>
    </w:p>
    <w:p w14:paraId="50163670" w14:textId="77777777" w:rsidR="006D60B3" w:rsidRPr="0017412F" w:rsidRDefault="006D60B3" w:rsidP="0017412F">
      <w:pPr>
        <w:spacing w:after="0" w:line="360" w:lineRule="auto"/>
        <w:ind w:left="357"/>
        <w:contextualSpacing/>
        <w:jc w:val="both"/>
        <w:rPr>
          <w:rStyle w:val="Hipervnculo"/>
          <w:color w:val="17365D" w:themeColor="text2" w:themeShade="BF"/>
          <w:sz w:val="24"/>
          <w:szCs w:val="24"/>
          <w:u w:val="none"/>
        </w:rPr>
      </w:pPr>
    </w:p>
    <w:p w14:paraId="6F026CE6" w14:textId="77777777" w:rsidR="006D60B3" w:rsidRPr="0017412F" w:rsidRDefault="006D60B3" w:rsidP="0017412F">
      <w:pPr>
        <w:spacing w:after="0" w:line="360" w:lineRule="auto"/>
        <w:ind w:left="357"/>
        <w:contextualSpacing/>
        <w:jc w:val="both"/>
        <w:rPr>
          <w:rStyle w:val="Hipervnculo"/>
          <w:color w:val="17365D" w:themeColor="text2" w:themeShade="BF"/>
          <w:sz w:val="24"/>
          <w:szCs w:val="24"/>
          <w:u w:val="none"/>
        </w:rPr>
      </w:pPr>
      <w:r w:rsidRPr="0017412F">
        <w:rPr>
          <w:rStyle w:val="Hipervnculo"/>
          <w:color w:val="17365D" w:themeColor="text2" w:themeShade="BF"/>
          <w:sz w:val="24"/>
          <w:szCs w:val="24"/>
          <w:u w:val="none"/>
        </w:rPr>
        <w:t xml:space="preserve">Protocolo de vigilancia de la fiebre del Nilo Occidental. Protocolos de la Red Nacional de Vigilancia Epidemiológica. Disponible en: </w:t>
      </w:r>
    </w:p>
    <w:p w14:paraId="07315F14" w14:textId="77777777" w:rsidR="0017412F" w:rsidRDefault="005E4A8A" w:rsidP="0017412F">
      <w:pPr>
        <w:spacing w:after="0" w:line="360" w:lineRule="auto"/>
        <w:ind w:left="357"/>
        <w:contextualSpacing/>
        <w:jc w:val="both"/>
        <w:rPr>
          <w:rStyle w:val="Hipervnculo"/>
          <w:rFonts w:eastAsia="Times New Roman" w:cs="Calibri"/>
          <w:sz w:val="24"/>
          <w:szCs w:val="24"/>
          <w14:textFill>
            <w14:solidFill>
              <w14:srgbClr w14:val="0000FF">
                <w14:lumMod w14:val="75000"/>
              </w14:srgbClr>
            </w14:solidFill>
          </w14:textFill>
        </w:rPr>
      </w:pPr>
      <w:hyperlink r:id="rId13" w:history="1">
        <w:r w:rsidR="006D60B3" w:rsidRPr="0017412F">
          <w:rPr>
            <w:rStyle w:val="Hipervnculo"/>
            <w:rFonts w:eastAsia="Times New Roman" w:cs="Calibri"/>
            <w:sz w:val="24"/>
            <w:szCs w:val="24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https://www.isciii.es/QueHacemos/Servicios/VigilanciaSaludPublicaRENAVE/EnfermedadesTransmisibles/Documents/PROTOCOLOS/Protocolo%20de%20Vigilancia%20de%20Fiebre%20del%20Nilo%20Occidental.pdf</w:t>
        </w:r>
      </w:hyperlink>
    </w:p>
    <w:p w14:paraId="3062114A" w14:textId="77777777" w:rsidR="00E31F80" w:rsidRDefault="00E31F80" w:rsidP="0017412F">
      <w:pPr>
        <w:spacing w:after="0" w:line="360" w:lineRule="auto"/>
        <w:ind w:left="357"/>
        <w:contextualSpacing/>
        <w:jc w:val="both"/>
        <w:rPr>
          <w:rStyle w:val="Hipervnculo"/>
          <w:rFonts w:eastAsia="Times New Roman" w:cs="Calibri"/>
          <w:sz w:val="24"/>
          <w:szCs w:val="24"/>
          <w14:textFill>
            <w14:solidFill>
              <w14:srgbClr w14:val="0000FF">
                <w14:lumMod w14:val="75000"/>
              </w14:srgbClr>
            </w14:solidFill>
          </w14:textFill>
        </w:rPr>
      </w:pPr>
    </w:p>
    <w:p w14:paraId="0C81D32A" w14:textId="28A9025F" w:rsidR="00AD4A5E" w:rsidRDefault="00E31F80" w:rsidP="0017412F">
      <w:pPr>
        <w:spacing w:after="0" w:line="360" w:lineRule="auto"/>
        <w:ind w:left="357"/>
        <w:contextualSpacing/>
        <w:jc w:val="both"/>
        <w:rPr>
          <w:color w:val="17365D" w:themeColor="text2" w:themeShade="BF"/>
          <w:sz w:val="24"/>
          <w:szCs w:val="24"/>
        </w:rPr>
      </w:pPr>
      <w:r w:rsidRPr="00010852">
        <w:rPr>
          <w:color w:val="17365D" w:themeColor="text2" w:themeShade="BF"/>
          <w:sz w:val="24"/>
          <w:szCs w:val="24"/>
        </w:rPr>
        <w:t>Centro de Coordinación de Alertas y Emergencias Sanitarias. Meningoencefaliti</w:t>
      </w:r>
      <w:r w:rsidR="00B36D1F">
        <w:rPr>
          <w:color w:val="17365D" w:themeColor="text2" w:themeShade="BF"/>
          <w:sz w:val="24"/>
          <w:szCs w:val="24"/>
        </w:rPr>
        <w:t>s por virus del Nilo Occidental</w:t>
      </w:r>
      <w:r w:rsidR="00AD4A5E">
        <w:rPr>
          <w:color w:val="17365D" w:themeColor="text2" w:themeShade="BF"/>
          <w:sz w:val="24"/>
          <w:szCs w:val="24"/>
        </w:rPr>
        <w:t>.</w:t>
      </w:r>
    </w:p>
    <w:p w14:paraId="0DD54241" w14:textId="70664C36" w:rsidR="00AD4A5E" w:rsidRDefault="005E4A8A" w:rsidP="0017412F">
      <w:pPr>
        <w:spacing w:after="0" w:line="360" w:lineRule="auto"/>
        <w:ind w:left="357"/>
        <w:contextualSpacing/>
        <w:jc w:val="both"/>
        <w:rPr>
          <w:color w:val="17365D" w:themeColor="text2" w:themeShade="BF"/>
          <w:sz w:val="24"/>
          <w:szCs w:val="24"/>
        </w:rPr>
      </w:pPr>
      <w:hyperlink r:id="rId14" w:history="1">
        <w:r w:rsidR="00AD4A5E" w:rsidRPr="00C65CB3">
          <w:rPr>
            <w:rStyle w:val="Hipervnculo"/>
            <w:sz w:val="24"/>
            <w:szCs w:val="24"/>
          </w:rPr>
          <w:t>https://www.mscbs.gob.es/profesionales/saludPublica/ccayes/alertasActual/Eventos_de_salud_publica_en_seguimiento.htm</w:t>
        </w:r>
      </w:hyperlink>
    </w:p>
    <w:p w14:paraId="0D9BD2CC" w14:textId="539B1DDA" w:rsidR="00B36D1F" w:rsidRPr="0017412F" w:rsidRDefault="00B36D1F" w:rsidP="0017412F">
      <w:pPr>
        <w:spacing w:after="0" w:line="360" w:lineRule="auto"/>
        <w:ind w:left="357"/>
        <w:contextualSpacing/>
        <w:jc w:val="both"/>
        <w:rPr>
          <w:rFonts w:eastAsia="Times New Roman" w:cs="Calibri"/>
          <w:color w:val="17365D" w:themeColor="text2" w:themeShade="BF"/>
          <w:sz w:val="24"/>
          <w:szCs w:val="24"/>
        </w:rPr>
      </w:pPr>
    </w:p>
    <w:p w14:paraId="0CA87AEF" w14:textId="211D0272" w:rsidR="0017412F" w:rsidRPr="00424460" w:rsidRDefault="0017412F" w:rsidP="0017412F">
      <w:pPr>
        <w:spacing w:after="0" w:line="360" w:lineRule="auto"/>
        <w:ind w:left="357"/>
        <w:contextualSpacing/>
        <w:jc w:val="both"/>
        <w:rPr>
          <w:rStyle w:val="Hipervnculo"/>
          <w:sz w:val="24"/>
          <w:szCs w:val="24"/>
          <w:lang w:val="en-US"/>
          <w14:textFill>
            <w14:solidFill>
              <w14:srgbClr w14:val="0000FF">
                <w14:lumMod w14:val="75000"/>
              </w14:srgbClr>
            </w14:solidFill>
          </w14:textFill>
        </w:rPr>
      </w:pPr>
      <w:r w:rsidRPr="0017412F">
        <w:rPr>
          <w:rFonts w:eastAsia="Times New Roman" w:cs="Calibri"/>
          <w:color w:val="17365D" w:themeColor="text2" w:themeShade="BF"/>
          <w:sz w:val="24"/>
          <w:szCs w:val="24"/>
        </w:rPr>
        <w:t xml:space="preserve">West </w:t>
      </w:r>
      <w:proofErr w:type="spellStart"/>
      <w:r w:rsidRPr="0017412F">
        <w:rPr>
          <w:rFonts w:eastAsia="Times New Roman" w:cs="Calibri"/>
          <w:color w:val="17365D" w:themeColor="text2" w:themeShade="BF"/>
          <w:sz w:val="24"/>
          <w:szCs w:val="24"/>
        </w:rPr>
        <w:t>Nile</w:t>
      </w:r>
      <w:proofErr w:type="spellEnd"/>
      <w:r w:rsidRPr="0017412F">
        <w:rPr>
          <w:rFonts w:eastAsia="Times New Roman" w:cs="Calibri"/>
          <w:color w:val="17365D" w:themeColor="text2" w:themeShade="BF"/>
          <w:sz w:val="24"/>
          <w:szCs w:val="24"/>
        </w:rPr>
        <w:t xml:space="preserve"> virus </w:t>
      </w:r>
      <w:proofErr w:type="spellStart"/>
      <w:r w:rsidRPr="0017412F">
        <w:rPr>
          <w:rFonts w:eastAsia="Times New Roman" w:cs="Calibri"/>
          <w:color w:val="17365D" w:themeColor="text2" w:themeShade="BF"/>
          <w:sz w:val="24"/>
          <w:szCs w:val="24"/>
        </w:rPr>
        <w:t>infection</w:t>
      </w:r>
      <w:proofErr w:type="spellEnd"/>
      <w:r w:rsidRPr="0017412F">
        <w:rPr>
          <w:rFonts w:eastAsia="Times New Roman" w:cs="Calibri"/>
          <w:color w:val="17365D" w:themeColor="text2" w:themeShade="BF"/>
          <w:sz w:val="24"/>
          <w:szCs w:val="24"/>
        </w:rPr>
        <w:t xml:space="preserve">. </w:t>
      </w:r>
      <w:r w:rsidRPr="0017412F">
        <w:rPr>
          <w:color w:val="17365D" w:themeColor="text2" w:themeShade="BF"/>
          <w:sz w:val="24"/>
          <w:szCs w:val="24"/>
        </w:rPr>
        <w:t>Centro Europeo para la Prevención y el Control de Enfermedades</w:t>
      </w:r>
      <w:r w:rsidRPr="0017412F">
        <w:rPr>
          <w:i/>
          <w:color w:val="17365D" w:themeColor="text2" w:themeShade="BF"/>
          <w:sz w:val="24"/>
          <w:szCs w:val="24"/>
        </w:rPr>
        <w:t xml:space="preserve"> </w:t>
      </w:r>
      <w:r w:rsidRPr="0017412F">
        <w:rPr>
          <w:color w:val="17365D" w:themeColor="text2" w:themeShade="BF"/>
          <w:sz w:val="24"/>
          <w:szCs w:val="24"/>
        </w:rPr>
        <w:t xml:space="preserve">(ECDC). </w:t>
      </w:r>
      <w:hyperlink r:id="rId15" w:history="1">
        <w:r w:rsidRPr="00424460">
          <w:rPr>
            <w:rStyle w:val="Hipervnculo"/>
            <w:sz w:val="24"/>
            <w:szCs w:val="24"/>
            <w:lang w:val="en-US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https://www.ecdc.europa.eu/en/west-nile-virus-infection</w:t>
        </w:r>
      </w:hyperlink>
    </w:p>
    <w:p w14:paraId="280B20D9" w14:textId="77777777" w:rsidR="00202742" w:rsidRDefault="00202742" w:rsidP="0017412F">
      <w:pPr>
        <w:spacing w:after="0" w:line="360" w:lineRule="auto"/>
        <w:ind w:left="357"/>
        <w:contextualSpacing/>
        <w:jc w:val="both"/>
        <w:rPr>
          <w:rStyle w:val="Hipervnculo"/>
          <w:sz w:val="24"/>
          <w:szCs w:val="24"/>
          <w:lang w:val="en-US"/>
          <w14:textFill>
            <w14:solidFill>
              <w14:srgbClr w14:val="0000FF">
                <w14:lumMod w14:val="75000"/>
              </w14:srgbClr>
            </w14:solidFill>
          </w14:textFill>
        </w:rPr>
      </w:pPr>
    </w:p>
    <w:p w14:paraId="18C80A27" w14:textId="77777777" w:rsidR="00A30E38" w:rsidRPr="00A30E38" w:rsidRDefault="00A30E38" w:rsidP="00A30E38">
      <w:pPr>
        <w:spacing w:after="0" w:line="360" w:lineRule="auto"/>
        <w:ind w:left="357"/>
        <w:contextualSpacing/>
        <w:jc w:val="both"/>
        <w:rPr>
          <w:rStyle w:val="Hipervnculo"/>
          <w:color w:val="17365D" w:themeColor="text2" w:themeShade="BF"/>
          <w:sz w:val="24"/>
          <w:szCs w:val="24"/>
          <w:u w:val="none"/>
          <w:lang w:val="en-US"/>
        </w:rPr>
      </w:pPr>
      <w:r w:rsidRPr="00A30E38">
        <w:rPr>
          <w:rStyle w:val="Hipervnculo"/>
          <w:color w:val="17365D" w:themeColor="text2" w:themeShade="BF"/>
          <w:sz w:val="24"/>
          <w:szCs w:val="24"/>
          <w:u w:val="none"/>
          <w:lang w:val="en-US"/>
        </w:rPr>
        <w:t>Epidemiological update: West Nile virus transmission season in Europe, 2020</w:t>
      </w:r>
    </w:p>
    <w:p w14:paraId="47B83EC0" w14:textId="5305F470" w:rsidR="00202742" w:rsidRDefault="005E4A8A" w:rsidP="0017412F">
      <w:pPr>
        <w:spacing w:after="0" w:line="360" w:lineRule="auto"/>
        <w:ind w:left="357"/>
        <w:contextualSpacing/>
        <w:jc w:val="both"/>
        <w:rPr>
          <w:color w:val="17365D" w:themeColor="text2" w:themeShade="BF"/>
          <w:sz w:val="24"/>
          <w:szCs w:val="24"/>
          <w:lang w:val="en-US"/>
        </w:rPr>
      </w:pPr>
      <w:hyperlink r:id="rId16" w:history="1">
        <w:r w:rsidR="00A30E38" w:rsidRPr="00C65CB3">
          <w:rPr>
            <w:rStyle w:val="Hipervnculo"/>
            <w:sz w:val="24"/>
            <w:szCs w:val="24"/>
            <w:lang w:val="en-US"/>
          </w:rPr>
          <w:t>https://www.ecdc.europa.eu/en/news-events/epidemiological-update-west-nile-virus-transmission-season-europe-2020</w:t>
        </w:r>
      </w:hyperlink>
    </w:p>
    <w:p w14:paraId="4D3A2B3F" w14:textId="77777777" w:rsidR="00A30E38" w:rsidRPr="00A30E38" w:rsidRDefault="00A30E38" w:rsidP="0017412F">
      <w:pPr>
        <w:spacing w:after="0" w:line="360" w:lineRule="auto"/>
        <w:ind w:left="357"/>
        <w:contextualSpacing/>
        <w:jc w:val="both"/>
        <w:rPr>
          <w:color w:val="17365D" w:themeColor="text2" w:themeShade="BF"/>
          <w:sz w:val="24"/>
          <w:szCs w:val="24"/>
          <w:lang w:val="en-US"/>
        </w:rPr>
      </w:pPr>
    </w:p>
    <w:p w14:paraId="37533DBB" w14:textId="26A30290" w:rsidR="0017412F" w:rsidRDefault="0017412F" w:rsidP="0017412F">
      <w:pPr>
        <w:spacing w:after="0" w:line="360" w:lineRule="auto"/>
        <w:ind w:left="357"/>
        <w:contextualSpacing/>
        <w:jc w:val="both"/>
        <w:rPr>
          <w:rStyle w:val="Hipervnculo"/>
          <w:color w:val="17365D" w:themeColor="text2" w:themeShade="BF"/>
          <w:sz w:val="24"/>
          <w:szCs w:val="24"/>
          <w:u w:val="none"/>
        </w:rPr>
      </w:pPr>
      <w:r>
        <w:rPr>
          <w:rStyle w:val="Hipervnculo"/>
          <w:color w:val="17365D" w:themeColor="text2" w:themeShade="BF"/>
          <w:sz w:val="24"/>
          <w:szCs w:val="24"/>
          <w:u w:val="none"/>
        </w:rPr>
        <w:t xml:space="preserve">Infección por el Virus de Nilo Occidental. Organización Mundial de la Salud. </w:t>
      </w:r>
      <w:hyperlink r:id="rId17" w:history="1">
        <w:r w:rsidRPr="007547B0">
          <w:rPr>
            <w:rStyle w:val="Hipervnculo"/>
            <w:sz w:val="24"/>
            <w:szCs w:val="24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https://www.who.int/es/news-room/fact-sheets/detail/west-nile-virus</w:t>
        </w:r>
      </w:hyperlink>
    </w:p>
    <w:p w14:paraId="0CDE6B24" w14:textId="77777777" w:rsidR="0017412F" w:rsidRPr="0017412F" w:rsidRDefault="0017412F" w:rsidP="0017412F">
      <w:pPr>
        <w:spacing w:after="0" w:line="360" w:lineRule="auto"/>
        <w:ind w:left="357"/>
        <w:contextualSpacing/>
        <w:jc w:val="both"/>
        <w:rPr>
          <w:color w:val="17365D" w:themeColor="text2" w:themeShade="BF"/>
          <w:sz w:val="24"/>
          <w:szCs w:val="24"/>
        </w:rPr>
      </w:pPr>
    </w:p>
    <w:p w14:paraId="1A359E24" w14:textId="7EDC199F" w:rsidR="00D269C5" w:rsidRDefault="00B54472" w:rsidP="0017412F">
      <w:pPr>
        <w:spacing w:after="0" w:line="360" w:lineRule="auto"/>
        <w:ind w:left="357"/>
        <w:contextualSpacing/>
        <w:jc w:val="both"/>
        <w:rPr>
          <w:rFonts w:eastAsia="Times New Roman" w:cs="Calibri"/>
          <w:color w:val="17365D" w:themeColor="text2" w:themeShade="BF"/>
          <w:sz w:val="24"/>
          <w:szCs w:val="24"/>
        </w:rPr>
      </w:pPr>
      <w:r w:rsidRPr="00B54472">
        <w:rPr>
          <w:rFonts w:eastAsia="Times New Roman" w:cs="Calibri"/>
          <w:color w:val="17365D" w:themeColor="text2" w:themeShade="BF"/>
          <w:sz w:val="24"/>
          <w:szCs w:val="24"/>
        </w:rPr>
        <w:t>Documento de Consenso del Grupo de Estudio de la Infección e</w:t>
      </w:r>
      <w:r>
        <w:rPr>
          <w:rFonts w:eastAsia="Times New Roman" w:cs="Calibri"/>
          <w:color w:val="17365D" w:themeColor="text2" w:themeShade="BF"/>
          <w:sz w:val="24"/>
          <w:szCs w:val="24"/>
        </w:rPr>
        <w:t>n</w:t>
      </w:r>
      <w:r w:rsidRPr="00B54472">
        <w:rPr>
          <w:rFonts w:eastAsia="Times New Roman" w:cs="Calibri"/>
          <w:color w:val="17365D" w:themeColor="text2" w:themeShade="BF"/>
          <w:sz w:val="24"/>
          <w:szCs w:val="24"/>
        </w:rPr>
        <w:t xml:space="preserve"> el Trasplante (GESITRA) perteneciente a la Sociedad de Enfermedades Infecciosas y Microbiología Clínica (SEIMC) y la Organización Nacional de Trasplantes (ONT) </w:t>
      </w:r>
      <w:r w:rsidRPr="00B54472">
        <w:rPr>
          <w:rFonts w:eastAsia="Times New Roman" w:cs="Calibri"/>
          <w:color w:val="17365D" w:themeColor="text2" w:themeShade="BF"/>
          <w:sz w:val="24"/>
          <w:szCs w:val="24"/>
        </w:rPr>
        <w:lastRenderedPageBreak/>
        <w:t xml:space="preserve">sobre los Criterios de Selección del Donante de Órganos Sólidos en relación a las Enfermedades Infecciosas. </w:t>
      </w:r>
      <w:r>
        <w:rPr>
          <w:rFonts w:eastAsia="Times New Roman" w:cs="Calibri"/>
          <w:color w:val="17365D" w:themeColor="text2" w:themeShade="BF"/>
          <w:sz w:val="24"/>
          <w:szCs w:val="24"/>
        </w:rPr>
        <w:t>Dispo</w:t>
      </w:r>
      <w:r w:rsidRPr="00B54472">
        <w:rPr>
          <w:rFonts w:eastAsia="Times New Roman" w:cs="Calibri"/>
          <w:color w:val="17365D" w:themeColor="text2" w:themeShade="BF"/>
          <w:sz w:val="24"/>
          <w:szCs w:val="24"/>
        </w:rPr>
        <w:t xml:space="preserve">nible en: </w:t>
      </w:r>
      <w:hyperlink r:id="rId18" w:history="1">
        <w:r w:rsidRPr="007547B0">
          <w:rPr>
            <w:rStyle w:val="Hipervnculo"/>
            <w:rFonts w:eastAsia="Times New Roman" w:cs="Calibri"/>
            <w:sz w:val="24"/>
            <w:szCs w:val="24"/>
          </w:rPr>
          <w:t>http://www.ont.es/infesp/Paginas/DocumentosdeConsenso.aspx</w:t>
        </w:r>
      </w:hyperlink>
      <w:r>
        <w:rPr>
          <w:rFonts w:eastAsia="Times New Roman" w:cs="Calibri"/>
          <w:color w:val="17365D" w:themeColor="text2" w:themeShade="BF"/>
          <w:sz w:val="24"/>
          <w:szCs w:val="24"/>
        </w:rPr>
        <w:t xml:space="preserve">. </w:t>
      </w:r>
    </w:p>
    <w:p w14:paraId="5CCFEE82" w14:textId="282A8CE4" w:rsidR="004742B8" w:rsidRDefault="004742B8" w:rsidP="0017412F">
      <w:pPr>
        <w:spacing w:after="0" w:line="360" w:lineRule="auto"/>
        <w:ind w:left="357"/>
        <w:contextualSpacing/>
        <w:jc w:val="both"/>
        <w:rPr>
          <w:rFonts w:eastAsia="Times New Roman" w:cs="Calibri"/>
          <w:color w:val="17365D" w:themeColor="text2" w:themeShade="BF"/>
          <w:sz w:val="24"/>
          <w:szCs w:val="24"/>
        </w:rPr>
      </w:pPr>
    </w:p>
    <w:p w14:paraId="036BDE6C" w14:textId="0A73BF42" w:rsidR="004742B8" w:rsidRPr="009A15DF" w:rsidRDefault="004742B8" w:rsidP="004742B8">
      <w:pPr>
        <w:spacing w:after="0" w:line="360" w:lineRule="auto"/>
        <w:ind w:left="357"/>
        <w:contextualSpacing/>
        <w:jc w:val="both"/>
        <w:rPr>
          <w:rFonts w:eastAsia="Times New Roman" w:cs="Calibri"/>
          <w:color w:val="17365D" w:themeColor="text2" w:themeShade="BF"/>
          <w:sz w:val="24"/>
          <w:szCs w:val="24"/>
          <w:lang w:val="en-US"/>
        </w:rPr>
      </w:pPr>
      <w:proofErr w:type="gramStart"/>
      <w:r>
        <w:rPr>
          <w:rFonts w:eastAsia="Times New Roman" w:cs="Calibri"/>
          <w:color w:val="17365D" w:themeColor="text2" w:themeShade="BF"/>
          <w:sz w:val="24"/>
          <w:szCs w:val="24"/>
          <w:lang w:val="en-US"/>
        </w:rPr>
        <w:t xml:space="preserve">Council of Europe </w:t>
      </w:r>
      <w:r w:rsidRPr="003F09E1">
        <w:rPr>
          <w:rFonts w:eastAsia="Times New Roman" w:cs="Calibri"/>
          <w:color w:val="17365D" w:themeColor="text2" w:themeShade="BF"/>
          <w:sz w:val="24"/>
          <w:szCs w:val="24"/>
          <w:lang w:val="en-US"/>
        </w:rPr>
        <w:t xml:space="preserve">Guide to the quality and safety of </w:t>
      </w:r>
      <w:r w:rsidRPr="004742B8">
        <w:rPr>
          <w:rFonts w:eastAsia="Times New Roman" w:cs="Calibri"/>
          <w:color w:val="17365D" w:themeColor="text2" w:themeShade="BF"/>
          <w:sz w:val="24"/>
          <w:szCs w:val="24"/>
          <w:lang w:val="en-US"/>
        </w:rPr>
        <w:t>organs for transplantation</w:t>
      </w:r>
      <w:r>
        <w:rPr>
          <w:rFonts w:eastAsia="Times New Roman" w:cs="Calibri"/>
          <w:color w:val="17365D" w:themeColor="text2" w:themeShade="BF"/>
          <w:sz w:val="24"/>
          <w:szCs w:val="24"/>
          <w:lang w:val="en-US"/>
        </w:rPr>
        <w:t>.</w:t>
      </w:r>
      <w:proofErr w:type="gramEnd"/>
      <w:r>
        <w:rPr>
          <w:rFonts w:eastAsia="Times New Roman" w:cs="Calibri"/>
          <w:color w:val="17365D" w:themeColor="text2" w:themeShade="BF"/>
          <w:sz w:val="24"/>
          <w:szCs w:val="24"/>
          <w:lang w:val="en-US"/>
        </w:rPr>
        <w:t xml:space="preserve"> </w:t>
      </w:r>
      <w:proofErr w:type="gramStart"/>
      <w:r>
        <w:rPr>
          <w:rFonts w:eastAsia="Times New Roman" w:cs="Calibri"/>
          <w:color w:val="17365D" w:themeColor="text2" w:themeShade="BF"/>
          <w:sz w:val="24"/>
          <w:szCs w:val="24"/>
          <w:lang w:val="en-US"/>
        </w:rPr>
        <w:t>7</w:t>
      </w:r>
      <w:r w:rsidRPr="004742B8">
        <w:rPr>
          <w:rFonts w:eastAsia="Times New Roman" w:cs="Calibri"/>
          <w:color w:val="17365D" w:themeColor="text2" w:themeShade="BF"/>
          <w:sz w:val="24"/>
          <w:szCs w:val="24"/>
          <w:lang w:val="en-US"/>
        </w:rPr>
        <w:t>th</w:t>
      </w:r>
      <w:r>
        <w:rPr>
          <w:rFonts w:eastAsia="Times New Roman" w:cs="Calibri"/>
          <w:color w:val="17365D" w:themeColor="text2" w:themeShade="BF"/>
          <w:sz w:val="24"/>
          <w:szCs w:val="24"/>
          <w:lang w:val="en-US"/>
        </w:rPr>
        <w:t xml:space="preserve"> Edition.</w:t>
      </w:r>
      <w:proofErr w:type="gramEnd"/>
      <w:r>
        <w:rPr>
          <w:rFonts w:eastAsia="Times New Roman" w:cs="Calibri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Pr="009A15DF">
        <w:rPr>
          <w:rFonts w:eastAsia="Times New Roman" w:cs="Calibri"/>
          <w:color w:val="17365D" w:themeColor="text2" w:themeShade="BF"/>
          <w:sz w:val="24"/>
          <w:szCs w:val="24"/>
          <w:lang w:val="en-US"/>
        </w:rPr>
        <w:t>Disponible</w:t>
      </w:r>
      <w:proofErr w:type="spellEnd"/>
      <w:r w:rsidRPr="009A15DF">
        <w:rPr>
          <w:rFonts w:eastAsia="Times New Roman" w:cs="Calibri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Pr="009A15DF">
        <w:rPr>
          <w:rFonts w:eastAsia="Times New Roman" w:cs="Calibri"/>
          <w:color w:val="17365D" w:themeColor="text2" w:themeShade="BF"/>
          <w:sz w:val="24"/>
          <w:szCs w:val="24"/>
          <w:lang w:val="en-US"/>
        </w:rPr>
        <w:t>en</w:t>
      </w:r>
      <w:proofErr w:type="spellEnd"/>
      <w:r w:rsidRPr="009A15DF">
        <w:rPr>
          <w:rFonts w:eastAsia="Times New Roman" w:cs="Calibri"/>
          <w:color w:val="17365D" w:themeColor="text2" w:themeShade="BF"/>
          <w:sz w:val="24"/>
          <w:szCs w:val="24"/>
          <w:lang w:val="en-US"/>
        </w:rPr>
        <w:t xml:space="preserve">: </w:t>
      </w:r>
      <w:hyperlink r:id="rId19" w:history="1">
        <w:r w:rsidRPr="009A15DF">
          <w:rPr>
            <w:rStyle w:val="Hipervnculo"/>
            <w:sz w:val="24"/>
            <w:lang w:val="en-US"/>
          </w:rPr>
          <w:t>https://www.edqm.eu/en/organs-tissues-and-cells-technical-guides</w:t>
        </w:r>
      </w:hyperlink>
    </w:p>
    <w:p w14:paraId="60E5A1EC" w14:textId="77777777" w:rsidR="00B54472" w:rsidRPr="009A15DF" w:rsidRDefault="00B54472" w:rsidP="0017412F">
      <w:pPr>
        <w:spacing w:after="0" w:line="360" w:lineRule="auto"/>
        <w:ind w:left="357"/>
        <w:contextualSpacing/>
        <w:jc w:val="both"/>
        <w:rPr>
          <w:rFonts w:eastAsia="Times New Roman" w:cs="Calibri"/>
          <w:color w:val="17365D" w:themeColor="text2" w:themeShade="BF"/>
          <w:sz w:val="24"/>
          <w:szCs w:val="24"/>
          <w:lang w:val="en-US"/>
        </w:rPr>
      </w:pPr>
    </w:p>
    <w:p w14:paraId="4B455655" w14:textId="12988FAC" w:rsidR="00AF78C1" w:rsidRDefault="00082703" w:rsidP="0017412F">
      <w:pPr>
        <w:spacing w:after="0" w:line="360" w:lineRule="auto"/>
        <w:ind w:left="357"/>
        <w:contextualSpacing/>
        <w:jc w:val="both"/>
        <w:rPr>
          <w:rFonts w:eastAsia="Times New Roman" w:cs="Calibri"/>
          <w:color w:val="17365D" w:themeColor="text2" w:themeShade="BF"/>
          <w:sz w:val="24"/>
          <w:szCs w:val="24"/>
        </w:rPr>
      </w:pPr>
      <w:r w:rsidRPr="00081C8E">
        <w:rPr>
          <w:rFonts w:eastAsia="Times New Roman" w:cs="Calibri"/>
          <w:color w:val="17365D" w:themeColor="text2" w:themeShade="BF"/>
          <w:sz w:val="24"/>
          <w:szCs w:val="24"/>
          <w:lang w:val="en-US"/>
        </w:rPr>
        <w:t xml:space="preserve">Winston  DJ,  </w:t>
      </w:r>
      <w:proofErr w:type="spellStart"/>
      <w:r w:rsidRPr="00081C8E">
        <w:rPr>
          <w:rFonts w:eastAsia="Times New Roman" w:cs="Calibri"/>
          <w:color w:val="17365D" w:themeColor="text2" w:themeShade="BF"/>
          <w:sz w:val="24"/>
          <w:szCs w:val="24"/>
          <w:lang w:val="en-US"/>
        </w:rPr>
        <w:t>Vikram</w:t>
      </w:r>
      <w:proofErr w:type="spellEnd"/>
      <w:r w:rsidRPr="00081C8E">
        <w:rPr>
          <w:rFonts w:eastAsia="Times New Roman" w:cs="Calibri"/>
          <w:color w:val="17365D" w:themeColor="text2" w:themeShade="BF"/>
          <w:sz w:val="24"/>
          <w:szCs w:val="24"/>
          <w:lang w:val="en-US"/>
        </w:rPr>
        <w:t xml:space="preserve">  HR,  </w:t>
      </w:r>
      <w:proofErr w:type="spellStart"/>
      <w:r w:rsidRPr="00081C8E">
        <w:rPr>
          <w:rFonts w:eastAsia="Times New Roman" w:cs="Calibri"/>
          <w:color w:val="17365D" w:themeColor="text2" w:themeShade="BF"/>
          <w:sz w:val="24"/>
          <w:szCs w:val="24"/>
          <w:lang w:val="en-US"/>
        </w:rPr>
        <w:t>Rabe</w:t>
      </w:r>
      <w:proofErr w:type="spellEnd"/>
      <w:r w:rsidRPr="00081C8E">
        <w:rPr>
          <w:rFonts w:eastAsia="Times New Roman" w:cs="Calibri"/>
          <w:color w:val="17365D" w:themeColor="text2" w:themeShade="BF"/>
          <w:sz w:val="24"/>
          <w:szCs w:val="24"/>
          <w:lang w:val="en-US"/>
        </w:rPr>
        <w:t xml:space="preserve">  IB,  Dhillon  G,  Mulligan  D,  Hong  JC,  et  al. Donor-Derived West  Nile  Virus  Infection  in  Solid  Organ  Transplant  Recipients.  </w:t>
      </w:r>
      <w:proofErr w:type="gramStart"/>
      <w:r w:rsidRPr="00962AEF">
        <w:rPr>
          <w:rFonts w:eastAsia="Times New Roman" w:cs="Calibri"/>
          <w:color w:val="17365D" w:themeColor="text2" w:themeShade="BF"/>
          <w:sz w:val="24"/>
          <w:szCs w:val="24"/>
          <w:lang w:val="en-US"/>
        </w:rPr>
        <w:t>Transplantation.</w:t>
      </w:r>
      <w:proofErr w:type="gramEnd"/>
      <w:r w:rsidRPr="00962AEF">
        <w:rPr>
          <w:rFonts w:eastAsia="Times New Roman" w:cs="Calibri"/>
          <w:color w:val="17365D" w:themeColor="text2" w:themeShade="BF"/>
          <w:sz w:val="24"/>
          <w:szCs w:val="24"/>
          <w:lang w:val="en-US"/>
        </w:rPr>
        <w:t xml:space="preserve">  2014 May</w:t>
      </w:r>
      <w:proofErr w:type="gramStart"/>
      <w:r w:rsidRPr="00962AEF">
        <w:rPr>
          <w:rFonts w:eastAsia="Times New Roman" w:cs="Calibri"/>
          <w:color w:val="17365D" w:themeColor="text2" w:themeShade="BF"/>
          <w:sz w:val="24"/>
          <w:szCs w:val="24"/>
          <w:lang w:val="en-US"/>
        </w:rPr>
        <w:t>;97</w:t>
      </w:r>
      <w:proofErr w:type="gramEnd"/>
      <w:r w:rsidRPr="00962AEF">
        <w:rPr>
          <w:rFonts w:eastAsia="Times New Roman" w:cs="Calibri"/>
          <w:color w:val="17365D" w:themeColor="text2" w:themeShade="BF"/>
          <w:sz w:val="24"/>
          <w:szCs w:val="24"/>
          <w:lang w:val="en-US"/>
        </w:rPr>
        <w:t xml:space="preserve">(9):881–9. </w:t>
      </w:r>
      <w:r w:rsidRPr="00082703">
        <w:rPr>
          <w:rFonts w:eastAsia="Times New Roman" w:cs="Calibri"/>
          <w:color w:val="17365D" w:themeColor="text2" w:themeShade="BF"/>
          <w:sz w:val="24"/>
          <w:szCs w:val="24"/>
        </w:rPr>
        <w:t>200.</w:t>
      </w:r>
    </w:p>
    <w:p w14:paraId="01CC7E46" w14:textId="77777777" w:rsidR="00082703" w:rsidRDefault="00082703" w:rsidP="0017412F">
      <w:pPr>
        <w:spacing w:after="0" w:line="360" w:lineRule="auto"/>
        <w:ind w:left="357"/>
        <w:contextualSpacing/>
        <w:jc w:val="both"/>
        <w:rPr>
          <w:rFonts w:eastAsia="Times New Roman" w:cs="Calibri"/>
          <w:color w:val="17365D" w:themeColor="text2" w:themeShade="BF"/>
          <w:sz w:val="24"/>
          <w:szCs w:val="24"/>
        </w:rPr>
      </w:pPr>
    </w:p>
    <w:p w14:paraId="2743F7E1" w14:textId="77777777" w:rsidR="00331960" w:rsidRDefault="00DC7408" w:rsidP="00331960">
      <w:pPr>
        <w:spacing w:after="0" w:line="360" w:lineRule="auto"/>
        <w:ind w:left="357"/>
        <w:contextualSpacing/>
        <w:jc w:val="both"/>
        <w:rPr>
          <w:rStyle w:val="Hipervnculo"/>
          <w:rFonts w:eastAsia="Times New Roman" w:cs="Calibri"/>
          <w:sz w:val="24"/>
          <w:szCs w:val="24"/>
          <w14:textFill>
            <w14:solidFill>
              <w14:srgbClr w14:val="0000FF">
                <w14:lumMod w14:val="75000"/>
              </w14:srgbClr>
            </w14:solidFill>
          </w14:textFill>
        </w:rPr>
      </w:pPr>
      <w:r>
        <w:rPr>
          <w:rFonts w:eastAsia="Times New Roman" w:cs="Calibri"/>
          <w:color w:val="17365D" w:themeColor="text2" w:themeShade="BF"/>
          <w:sz w:val="24"/>
          <w:szCs w:val="24"/>
        </w:rPr>
        <w:t xml:space="preserve">Virus del Nilo Occidental. Comité Científico Salud Transfusional. Disponible en: </w:t>
      </w:r>
      <w:hyperlink r:id="rId20" w:history="1">
        <w:r w:rsidRPr="007547B0">
          <w:rPr>
            <w:rStyle w:val="Hipervnculo"/>
            <w:rFonts w:eastAsia="Times New Roman" w:cs="Calibri"/>
            <w:sz w:val="24"/>
            <w:szCs w:val="24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https://www.mscbs.gob.es/profesionales/saludPublica/medicinaTransfusional/acuerdos/docs/Virus_Nilo_Occidental.pdf</w:t>
        </w:r>
      </w:hyperlink>
    </w:p>
    <w:p w14:paraId="2A2B667A" w14:textId="77777777" w:rsidR="00331960" w:rsidRDefault="00331960" w:rsidP="00331960">
      <w:pPr>
        <w:spacing w:after="0" w:line="360" w:lineRule="auto"/>
        <w:ind w:left="357"/>
        <w:contextualSpacing/>
        <w:jc w:val="both"/>
        <w:rPr>
          <w:rStyle w:val="Hipervnculo"/>
          <w:rFonts w:eastAsia="Times New Roman" w:cs="Calibri"/>
          <w:sz w:val="24"/>
          <w:szCs w:val="24"/>
          <w14:textFill>
            <w14:solidFill>
              <w14:srgbClr w14:val="0000FF">
                <w14:lumMod w14:val="75000"/>
              </w14:srgbClr>
            </w14:solidFill>
          </w14:textFill>
        </w:rPr>
      </w:pPr>
    </w:p>
    <w:p w14:paraId="12D7EBA7" w14:textId="095766E0" w:rsidR="00331960" w:rsidRPr="00331960" w:rsidRDefault="00331960" w:rsidP="00331960">
      <w:pPr>
        <w:spacing w:after="0" w:line="360" w:lineRule="auto"/>
        <w:ind w:left="357"/>
        <w:contextualSpacing/>
        <w:jc w:val="both"/>
        <w:rPr>
          <w:rFonts w:ascii="Calibri" w:hAnsi="Calibri"/>
          <w:color w:val="000000"/>
          <w:lang w:val="en-US"/>
        </w:rPr>
      </w:pPr>
      <w:proofErr w:type="gramStart"/>
      <w:r w:rsidRPr="00331960">
        <w:rPr>
          <w:color w:val="17365D" w:themeColor="text2" w:themeShade="BF"/>
          <w:lang w:val="en-US"/>
        </w:rPr>
        <w:t>Joint United Kingdom (UK) Blood Transfusion and Tissue Transplantation Services Professional Advisory Committee.</w:t>
      </w:r>
      <w:proofErr w:type="gramEnd"/>
      <w:r w:rsidRPr="00331960">
        <w:rPr>
          <w:color w:val="17365D" w:themeColor="text2" w:themeShade="BF"/>
          <w:lang w:val="en-US"/>
        </w:rPr>
        <w:t xml:space="preserve"> </w:t>
      </w:r>
      <w:hyperlink r:id="rId21" w:history="1">
        <w:r w:rsidRPr="00331960">
          <w:rPr>
            <w:rStyle w:val="Hipervnculo"/>
            <w:rFonts w:ascii="Calibri" w:hAnsi="Calibri"/>
            <w:color w:val="17365D" w:themeColor="text2" w:themeShade="BF"/>
            <w:lang w:val="en-US"/>
          </w:rPr>
          <w:t>https://www.transfusionguidelines.org/</w:t>
        </w:r>
      </w:hyperlink>
      <w:r w:rsidRPr="00331960">
        <w:rPr>
          <w:rFonts w:ascii="Calibri" w:hAnsi="Calibri"/>
          <w:color w:val="000000"/>
          <w:lang w:val="en-US"/>
        </w:rPr>
        <w:t>​</w:t>
      </w:r>
    </w:p>
    <w:p w14:paraId="3A1CA785" w14:textId="77777777" w:rsidR="00331960" w:rsidRPr="00331960" w:rsidRDefault="00331960" w:rsidP="00DC7408">
      <w:pPr>
        <w:spacing w:after="0" w:line="360" w:lineRule="auto"/>
        <w:ind w:left="357"/>
        <w:contextualSpacing/>
        <w:jc w:val="both"/>
        <w:rPr>
          <w:rFonts w:eastAsia="Times New Roman" w:cs="Calibri"/>
          <w:color w:val="17365D" w:themeColor="text2" w:themeShade="BF"/>
          <w:sz w:val="24"/>
          <w:szCs w:val="24"/>
          <w:lang w:val="en-US"/>
        </w:rPr>
      </w:pPr>
    </w:p>
    <w:p w14:paraId="1A6FAA00" w14:textId="77777777" w:rsidR="002554FB" w:rsidRPr="00331960" w:rsidRDefault="002554FB" w:rsidP="002554FB">
      <w:pPr>
        <w:spacing w:after="0" w:line="240" w:lineRule="auto"/>
        <w:ind w:left="357"/>
        <w:contextualSpacing/>
        <w:jc w:val="both"/>
        <w:rPr>
          <w:rStyle w:val="Hipervnculo"/>
          <w:color w:val="17365D" w:themeColor="text2" w:themeShade="BF"/>
          <w:sz w:val="24"/>
          <w:szCs w:val="24"/>
          <w:u w:val="none"/>
          <w:lang w:val="en-US"/>
        </w:rPr>
      </w:pPr>
    </w:p>
    <w:p w14:paraId="5F03EDFD" w14:textId="77777777" w:rsidR="002554FB" w:rsidRPr="00331960" w:rsidRDefault="002554FB" w:rsidP="00216F51">
      <w:pPr>
        <w:spacing w:after="0" w:line="240" w:lineRule="auto"/>
        <w:ind w:left="357"/>
        <w:contextualSpacing/>
        <w:jc w:val="both"/>
        <w:rPr>
          <w:rFonts w:eastAsia="Times New Roman" w:cs="Calibri"/>
          <w:color w:val="17365D" w:themeColor="text2" w:themeShade="BF"/>
          <w:sz w:val="24"/>
          <w:szCs w:val="24"/>
          <w:lang w:val="en-US"/>
        </w:rPr>
      </w:pPr>
    </w:p>
    <w:p w14:paraId="5D156FD2" w14:textId="77777777" w:rsidR="002554FB" w:rsidRPr="00331960" w:rsidRDefault="002554FB" w:rsidP="00216F51">
      <w:pPr>
        <w:spacing w:after="0" w:line="240" w:lineRule="auto"/>
        <w:ind w:left="357"/>
        <w:contextualSpacing/>
        <w:jc w:val="both"/>
        <w:rPr>
          <w:rFonts w:eastAsia="Times New Roman" w:cs="Calibri"/>
          <w:color w:val="17365D" w:themeColor="text2" w:themeShade="BF"/>
          <w:sz w:val="24"/>
          <w:szCs w:val="24"/>
          <w:lang w:val="en-US"/>
        </w:rPr>
      </w:pPr>
    </w:p>
    <w:sectPr w:rsidR="002554FB" w:rsidRPr="00331960" w:rsidSect="00643629">
      <w:headerReference w:type="default" r:id="rId22"/>
      <w:footerReference w:type="even" r:id="rId23"/>
      <w:footerReference w:type="default" r:id="rId24"/>
      <w:pgSz w:w="11905" w:h="16837" w:code="9"/>
      <w:pgMar w:top="851" w:right="1701" w:bottom="1276" w:left="1701" w:header="284" w:footer="0" w:gutter="0"/>
      <w:pgNumType w:start="1"/>
      <w:cols w:space="720"/>
      <w:noEndnote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4F37493" w15:done="0"/>
  <w15:commentEx w15:paraId="0030525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4ED6265" w16cid:durableId="2321694C"/>
  <w16cid:commentId w16cid:paraId="4EA3AA1D" w16cid:durableId="23216799"/>
  <w16cid:commentId w16cid:paraId="25EC0D7D" w16cid:durableId="23217915"/>
  <w16cid:commentId w16cid:paraId="51822A27" w16cid:durableId="23216762"/>
  <w16cid:commentId w16cid:paraId="72564D09" w16cid:durableId="232169E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4A8062" w14:textId="77777777" w:rsidR="004449E6" w:rsidRDefault="004449E6">
      <w:r>
        <w:separator/>
      </w:r>
    </w:p>
  </w:endnote>
  <w:endnote w:type="continuationSeparator" w:id="0">
    <w:p w14:paraId="734A197E" w14:textId="77777777" w:rsidR="004449E6" w:rsidRDefault="00444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801D3" w14:textId="77777777" w:rsidR="007332A5" w:rsidRDefault="007332A5" w:rsidP="00E00E1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FEAE633" w14:textId="77777777" w:rsidR="007332A5" w:rsidRDefault="007332A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7" w:type="dxa"/>
      <w:tblInd w:w="-7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9"/>
      <w:gridCol w:w="4394"/>
      <w:gridCol w:w="3544"/>
    </w:tblGrid>
    <w:tr w:rsidR="007332A5" w:rsidRPr="00671DBE" w14:paraId="187A8029" w14:textId="77777777" w:rsidTr="0085186A">
      <w:trPr>
        <w:trHeight w:val="841"/>
      </w:trPr>
      <w:tc>
        <w:tcPr>
          <w:tcW w:w="226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32C706C" w14:textId="77777777" w:rsidR="007332A5" w:rsidRPr="00671DBE" w:rsidRDefault="007332A5" w:rsidP="003C4990">
          <w:pPr>
            <w:pStyle w:val="Piedepgina"/>
            <w:spacing w:after="0" w:line="240" w:lineRule="auto"/>
            <w:rPr>
              <w:rFonts w:ascii="Calibri" w:hAnsi="Calibri" w:cs="Arial"/>
              <w:color w:val="333333"/>
              <w:sz w:val="14"/>
              <w:szCs w:val="14"/>
            </w:rPr>
          </w:pPr>
          <w:r w:rsidRPr="00671DBE">
            <w:rPr>
              <w:rFonts w:ascii="Calibri" w:hAnsi="Calibri" w:cs="Arial"/>
              <w:color w:val="333333"/>
              <w:sz w:val="14"/>
              <w:szCs w:val="14"/>
            </w:rPr>
            <w:t xml:space="preserve"> </w:t>
          </w:r>
        </w:p>
        <w:p w14:paraId="6AE1B447" w14:textId="65055CA4" w:rsidR="007332A5" w:rsidRPr="00721897" w:rsidRDefault="005E4A8A" w:rsidP="0048600D">
          <w:pPr>
            <w:pStyle w:val="Piedepgina"/>
            <w:spacing w:after="0" w:line="240" w:lineRule="auto"/>
            <w:rPr>
              <w:color w:val="333333"/>
              <w:sz w:val="14"/>
              <w:szCs w:val="14"/>
            </w:rPr>
          </w:pPr>
          <w:hyperlink r:id="rId1" w:history="1">
            <w:r w:rsidR="007332A5" w:rsidRPr="00671DBE">
              <w:rPr>
                <w:rStyle w:val="Hipervnculo"/>
                <w:rFonts w:ascii="Calibri" w:hAnsi="Calibri" w:cs="Arial"/>
                <w:sz w:val="14"/>
                <w:szCs w:val="14"/>
              </w:rPr>
              <w:t>vigilancia-ont@sanidad.gob.es</w:t>
            </w:r>
          </w:hyperlink>
          <w:r w:rsidR="007332A5" w:rsidRPr="00721897">
            <w:rPr>
              <w:color w:val="333333"/>
              <w:sz w:val="14"/>
              <w:szCs w:val="14"/>
            </w:rPr>
            <w:t xml:space="preserve"> </w:t>
          </w:r>
        </w:p>
      </w:tc>
      <w:tc>
        <w:tcPr>
          <w:tcW w:w="4394" w:type="dxa"/>
          <w:tcBorders>
            <w:top w:val="nil"/>
            <w:left w:val="nil"/>
            <w:bottom w:val="nil"/>
            <w:right w:val="nil"/>
          </w:tcBorders>
        </w:tcPr>
        <w:p w14:paraId="6FCDE7D9" w14:textId="45F06B38" w:rsidR="007332A5" w:rsidRPr="00671DBE" w:rsidRDefault="007332A5" w:rsidP="00457D4C">
          <w:pPr>
            <w:pStyle w:val="Piedepgina"/>
            <w:tabs>
              <w:tab w:val="clear" w:pos="4252"/>
              <w:tab w:val="center" w:pos="2056"/>
            </w:tabs>
            <w:jc w:val="center"/>
            <w:rPr>
              <w:sz w:val="18"/>
              <w:szCs w:val="18"/>
            </w:rPr>
          </w:pPr>
          <w:r w:rsidRPr="00671DBE">
            <w:rPr>
              <w:sz w:val="18"/>
              <w:szCs w:val="18"/>
            </w:rPr>
            <w:fldChar w:fldCharType="begin"/>
          </w:r>
          <w:r w:rsidRPr="00671DBE">
            <w:rPr>
              <w:sz w:val="18"/>
              <w:szCs w:val="18"/>
            </w:rPr>
            <w:instrText xml:space="preserve"> PAGE   \* MERGEFORMAT </w:instrText>
          </w:r>
          <w:r w:rsidRPr="00671DBE">
            <w:rPr>
              <w:sz w:val="18"/>
              <w:szCs w:val="18"/>
            </w:rPr>
            <w:fldChar w:fldCharType="separate"/>
          </w:r>
          <w:r w:rsidR="005E4A8A">
            <w:rPr>
              <w:noProof/>
              <w:sz w:val="18"/>
              <w:szCs w:val="18"/>
            </w:rPr>
            <w:t>1</w:t>
          </w:r>
          <w:r w:rsidRPr="00671DBE">
            <w:rPr>
              <w:sz w:val="18"/>
              <w:szCs w:val="18"/>
            </w:rPr>
            <w:fldChar w:fldCharType="end"/>
          </w:r>
          <w:r w:rsidRPr="00671DBE">
            <w:rPr>
              <w:sz w:val="18"/>
              <w:szCs w:val="18"/>
            </w:rPr>
            <w:t xml:space="preserve"> de </w:t>
          </w:r>
          <w:r w:rsidRPr="00671DBE">
            <w:rPr>
              <w:sz w:val="18"/>
              <w:szCs w:val="18"/>
            </w:rPr>
            <w:fldChar w:fldCharType="begin"/>
          </w:r>
          <w:r w:rsidRPr="00671DBE">
            <w:rPr>
              <w:sz w:val="18"/>
              <w:szCs w:val="18"/>
            </w:rPr>
            <w:instrText xml:space="preserve"> NUMPAGES   \* MERGEFORMAT </w:instrText>
          </w:r>
          <w:r w:rsidRPr="00671DBE">
            <w:rPr>
              <w:sz w:val="18"/>
              <w:szCs w:val="18"/>
            </w:rPr>
            <w:fldChar w:fldCharType="separate"/>
          </w:r>
          <w:r w:rsidR="005E4A8A">
            <w:rPr>
              <w:noProof/>
              <w:sz w:val="18"/>
              <w:szCs w:val="18"/>
            </w:rPr>
            <w:t>8</w:t>
          </w:r>
          <w:r w:rsidRPr="00671DBE">
            <w:rPr>
              <w:sz w:val="18"/>
              <w:szCs w:val="18"/>
            </w:rPr>
            <w:fldChar w:fldCharType="end"/>
          </w: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9446AF0" w14:textId="77777777" w:rsidR="007332A5" w:rsidRPr="00671DBE" w:rsidRDefault="007332A5" w:rsidP="0085186A">
          <w:pPr>
            <w:pStyle w:val="Piedepgina"/>
            <w:spacing w:after="0" w:line="240" w:lineRule="auto"/>
            <w:ind w:left="213"/>
            <w:jc w:val="right"/>
            <w:rPr>
              <w:rFonts w:ascii="Calibri" w:hAnsi="Calibri" w:cs="Arial"/>
              <w:sz w:val="14"/>
              <w:szCs w:val="14"/>
            </w:rPr>
          </w:pPr>
          <w:r w:rsidRPr="00671DBE">
            <w:rPr>
              <w:rFonts w:ascii="Calibri" w:hAnsi="Calibri" w:cs="Arial"/>
              <w:sz w:val="14"/>
              <w:szCs w:val="14"/>
            </w:rPr>
            <w:t xml:space="preserve">C/ </w:t>
          </w:r>
          <w:proofErr w:type="spellStart"/>
          <w:r w:rsidRPr="00671DBE">
            <w:rPr>
              <w:rFonts w:ascii="Calibri" w:hAnsi="Calibri" w:cs="Arial"/>
              <w:sz w:val="14"/>
              <w:szCs w:val="14"/>
            </w:rPr>
            <w:t>Sinesio</w:t>
          </w:r>
          <w:proofErr w:type="spellEnd"/>
          <w:r w:rsidRPr="00671DBE">
            <w:rPr>
              <w:rFonts w:ascii="Calibri" w:hAnsi="Calibri" w:cs="Arial"/>
              <w:sz w:val="14"/>
              <w:szCs w:val="14"/>
            </w:rPr>
            <w:t xml:space="preserve"> Delgado 8 (Pabellón 3)</w:t>
          </w:r>
        </w:p>
        <w:p w14:paraId="60C763CF" w14:textId="77777777" w:rsidR="007332A5" w:rsidRPr="00671DBE" w:rsidRDefault="007332A5" w:rsidP="0085186A">
          <w:pPr>
            <w:pStyle w:val="Piedepgina"/>
            <w:spacing w:after="0" w:line="240" w:lineRule="auto"/>
            <w:ind w:left="213"/>
            <w:jc w:val="right"/>
            <w:rPr>
              <w:rFonts w:ascii="Calibri" w:hAnsi="Calibri" w:cs="Arial"/>
              <w:sz w:val="14"/>
              <w:szCs w:val="14"/>
            </w:rPr>
          </w:pPr>
          <w:r w:rsidRPr="00671DBE">
            <w:rPr>
              <w:rFonts w:ascii="Calibri" w:hAnsi="Calibri" w:cs="Arial"/>
              <w:sz w:val="14"/>
              <w:szCs w:val="14"/>
            </w:rPr>
            <w:t>28029-Madrid</w:t>
          </w:r>
        </w:p>
        <w:p w14:paraId="5C4CE83F" w14:textId="77777777" w:rsidR="007332A5" w:rsidRPr="00671DBE" w:rsidRDefault="007332A5" w:rsidP="0085186A">
          <w:pPr>
            <w:pStyle w:val="Piedepgina"/>
            <w:spacing w:after="0" w:line="240" w:lineRule="auto"/>
            <w:ind w:left="213"/>
            <w:jc w:val="right"/>
            <w:rPr>
              <w:rFonts w:ascii="Calibri" w:hAnsi="Calibri" w:cs="Arial"/>
              <w:sz w:val="14"/>
              <w:szCs w:val="14"/>
            </w:rPr>
          </w:pPr>
          <w:r w:rsidRPr="00671DBE">
            <w:rPr>
              <w:rFonts w:ascii="Calibri" w:hAnsi="Calibri" w:cs="Arial"/>
              <w:sz w:val="14"/>
              <w:szCs w:val="14"/>
            </w:rPr>
            <w:t>Tel:  91 727 8699</w:t>
          </w:r>
        </w:p>
        <w:p w14:paraId="0D768FE2" w14:textId="77777777" w:rsidR="007332A5" w:rsidRPr="00671DBE" w:rsidRDefault="007332A5" w:rsidP="0085186A">
          <w:pPr>
            <w:pStyle w:val="Piedepgina"/>
            <w:spacing w:after="0" w:line="240" w:lineRule="auto"/>
            <w:ind w:left="213"/>
            <w:jc w:val="right"/>
            <w:rPr>
              <w:rFonts w:ascii="Calibri" w:hAnsi="Calibri" w:cs="Arial"/>
              <w:sz w:val="14"/>
              <w:szCs w:val="14"/>
            </w:rPr>
          </w:pPr>
          <w:r w:rsidRPr="00671DBE">
            <w:rPr>
              <w:rFonts w:ascii="Calibri" w:hAnsi="Calibri" w:cs="Arial"/>
              <w:sz w:val="14"/>
              <w:szCs w:val="14"/>
            </w:rPr>
            <w:t>Fax: 91 314 2956</w:t>
          </w:r>
        </w:p>
      </w:tc>
    </w:tr>
  </w:tbl>
  <w:p w14:paraId="2E935B12" w14:textId="77777777" w:rsidR="007332A5" w:rsidRPr="0085186A" w:rsidRDefault="007332A5">
    <w:pPr>
      <w:pStyle w:val="Piedepgin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EF49E8" w14:textId="77777777" w:rsidR="004449E6" w:rsidRDefault="004449E6">
      <w:r>
        <w:separator/>
      </w:r>
    </w:p>
  </w:footnote>
  <w:footnote w:type="continuationSeparator" w:id="0">
    <w:p w14:paraId="62520587" w14:textId="77777777" w:rsidR="004449E6" w:rsidRDefault="004449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7" w:type="dxa"/>
      <w:tblInd w:w="-78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5"/>
      <w:gridCol w:w="3969"/>
      <w:gridCol w:w="5103"/>
    </w:tblGrid>
    <w:tr w:rsidR="007332A5" w14:paraId="20CB36BD" w14:textId="77777777" w:rsidTr="00785C4A">
      <w:trPr>
        <w:cantSplit/>
        <w:trHeight w:val="425"/>
      </w:trPr>
      <w:tc>
        <w:tcPr>
          <w:tcW w:w="1135" w:type="dxa"/>
          <w:vMerge w:val="restart"/>
        </w:tcPr>
        <w:p w14:paraId="18816341" w14:textId="77777777" w:rsidR="007332A5" w:rsidRDefault="007332A5" w:rsidP="00785C4A">
          <w:pPr>
            <w:pStyle w:val="Encabezado"/>
            <w:spacing w:after="0" w:line="240" w:lineRule="auto"/>
            <w:rPr>
              <w:b/>
              <w:sz w:val="16"/>
            </w:rPr>
          </w:pPr>
          <w:r>
            <w:rPr>
              <w:b/>
              <w:noProof/>
              <w:sz w:val="16"/>
              <w:lang w:eastAsia="es-ES"/>
            </w:rPr>
            <w:drawing>
              <wp:inline distT="0" distB="0" distL="0" distR="0" wp14:anchorId="1D2074C2" wp14:editId="012BF68B">
                <wp:extent cx="586596" cy="630307"/>
                <wp:effectExtent l="0" t="0" r="4445" b="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016" cy="6339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vMerge w:val="restart"/>
          <w:vAlign w:val="center"/>
        </w:tcPr>
        <w:p w14:paraId="193C2410" w14:textId="77777777" w:rsidR="007332A5" w:rsidRDefault="007332A5" w:rsidP="00785C4A">
          <w:pPr>
            <w:pStyle w:val="Encabezado"/>
            <w:tabs>
              <w:tab w:val="clear" w:pos="8504"/>
              <w:tab w:val="left" w:pos="214"/>
              <w:tab w:val="right" w:pos="8577"/>
            </w:tabs>
            <w:spacing w:after="0" w:line="240" w:lineRule="auto"/>
            <w:rPr>
              <w:rFonts w:cs="Arial"/>
              <w:b/>
              <w:sz w:val="20"/>
            </w:rPr>
          </w:pPr>
        </w:p>
        <w:p w14:paraId="39AA278C" w14:textId="77777777" w:rsidR="007332A5" w:rsidRDefault="007332A5" w:rsidP="00785C4A">
          <w:pPr>
            <w:pStyle w:val="Encabezado"/>
            <w:tabs>
              <w:tab w:val="clear" w:pos="8504"/>
              <w:tab w:val="left" w:pos="214"/>
              <w:tab w:val="right" w:pos="8577"/>
            </w:tabs>
            <w:spacing w:after="0" w:line="240" w:lineRule="auto"/>
            <w:rPr>
              <w:rFonts w:cs="Arial"/>
              <w:b/>
              <w:sz w:val="20"/>
            </w:rPr>
          </w:pPr>
          <w:r w:rsidRPr="00AE28C5">
            <w:rPr>
              <w:rFonts w:cs="Arial"/>
              <w:b/>
              <w:sz w:val="20"/>
            </w:rPr>
            <w:t>MINISTERIO</w:t>
          </w:r>
          <w:r>
            <w:rPr>
              <w:rFonts w:cs="Arial"/>
              <w:b/>
              <w:sz w:val="20"/>
            </w:rPr>
            <w:t xml:space="preserve"> </w:t>
          </w:r>
        </w:p>
        <w:p w14:paraId="36C97F51" w14:textId="4FBBE95E" w:rsidR="007332A5" w:rsidRPr="00F40831" w:rsidRDefault="007332A5" w:rsidP="00785C4A">
          <w:pPr>
            <w:pStyle w:val="Encabezado"/>
            <w:tabs>
              <w:tab w:val="clear" w:pos="8504"/>
              <w:tab w:val="left" w:pos="214"/>
              <w:tab w:val="right" w:pos="8577"/>
            </w:tabs>
            <w:spacing w:after="0" w:line="240" w:lineRule="auto"/>
            <w:rPr>
              <w:rFonts w:ascii="Arial" w:hAnsi="Arial" w:cs="Arial"/>
              <w:b/>
              <w:sz w:val="20"/>
            </w:rPr>
          </w:pPr>
          <w:r w:rsidRPr="00AE28C5">
            <w:rPr>
              <w:rFonts w:cs="Arial"/>
              <w:b/>
              <w:sz w:val="20"/>
            </w:rPr>
            <w:t>DE SANIDAD</w:t>
          </w:r>
        </w:p>
      </w:tc>
      <w:tc>
        <w:tcPr>
          <w:tcW w:w="5103" w:type="dxa"/>
          <w:vMerge w:val="restart"/>
          <w:shd w:val="clear" w:color="auto" w:fill="auto"/>
          <w:vAlign w:val="center"/>
        </w:tcPr>
        <w:p w14:paraId="6B2623EF" w14:textId="77777777" w:rsidR="007332A5" w:rsidRDefault="007332A5" w:rsidP="00785C4A">
          <w:pPr>
            <w:pStyle w:val="Encabezado"/>
            <w:tabs>
              <w:tab w:val="clear" w:pos="4252"/>
              <w:tab w:val="center" w:pos="4466"/>
            </w:tabs>
            <w:spacing w:after="0" w:line="240" w:lineRule="auto"/>
            <w:ind w:left="-69" w:firstLine="211"/>
            <w:jc w:val="right"/>
            <w:rPr>
              <w:rFonts w:cs="Arial"/>
              <w:b/>
            </w:rPr>
          </w:pPr>
        </w:p>
        <w:p w14:paraId="313D7C0A" w14:textId="77777777" w:rsidR="007332A5" w:rsidRDefault="007332A5" w:rsidP="00785C4A">
          <w:pPr>
            <w:pStyle w:val="Encabezado"/>
            <w:tabs>
              <w:tab w:val="clear" w:pos="4252"/>
              <w:tab w:val="center" w:pos="4466"/>
            </w:tabs>
            <w:spacing w:after="0" w:line="240" w:lineRule="auto"/>
            <w:ind w:left="-69" w:firstLine="211"/>
            <w:jc w:val="right"/>
            <w:rPr>
              <w:rFonts w:cs="Arial"/>
              <w:b/>
            </w:rPr>
          </w:pPr>
          <w:r w:rsidRPr="00AE28C5">
            <w:rPr>
              <w:rFonts w:cs="Arial"/>
              <w:b/>
            </w:rPr>
            <w:t>Organización Nacional de Trasplantes</w:t>
          </w:r>
        </w:p>
        <w:p w14:paraId="1ECC5AFC" w14:textId="77777777" w:rsidR="007332A5" w:rsidRPr="00F40831" w:rsidRDefault="007332A5" w:rsidP="00785C4A">
          <w:pPr>
            <w:pStyle w:val="Encabezado"/>
            <w:tabs>
              <w:tab w:val="clear" w:pos="4252"/>
              <w:tab w:val="center" w:pos="4466"/>
            </w:tabs>
            <w:spacing w:after="0" w:line="240" w:lineRule="auto"/>
            <w:ind w:left="-69" w:firstLine="211"/>
            <w:jc w:val="right"/>
            <w:rPr>
              <w:rFonts w:ascii="Arial" w:hAnsi="Arial" w:cs="Arial"/>
              <w:b/>
              <w:sz w:val="20"/>
            </w:rPr>
          </w:pPr>
        </w:p>
      </w:tc>
    </w:tr>
    <w:tr w:rsidR="007332A5" w:rsidRPr="00AE28C5" w14:paraId="146C2B20" w14:textId="77777777" w:rsidTr="00785C4A">
      <w:trPr>
        <w:cantSplit/>
        <w:trHeight w:val="548"/>
      </w:trPr>
      <w:tc>
        <w:tcPr>
          <w:tcW w:w="1135" w:type="dxa"/>
          <w:vMerge/>
        </w:tcPr>
        <w:p w14:paraId="2EFFA530" w14:textId="77777777" w:rsidR="007332A5" w:rsidRDefault="007332A5" w:rsidP="005A2D34">
          <w:pPr>
            <w:pStyle w:val="Encabezado"/>
            <w:ind w:firstLine="142"/>
            <w:rPr>
              <w:b/>
              <w:sz w:val="16"/>
            </w:rPr>
          </w:pPr>
        </w:p>
      </w:tc>
      <w:tc>
        <w:tcPr>
          <w:tcW w:w="3969" w:type="dxa"/>
          <w:vMerge/>
          <w:vAlign w:val="center"/>
        </w:tcPr>
        <w:p w14:paraId="2070E294" w14:textId="77777777" w:rsidR="007332A5" w:rsidRDefault="007332A5" w:rsidP="005A2D34">
          <w:pPr>
            <w:pStyle w:val="Encabezado"/>
            <w:ind w:left="-1488"/>
            <w:rPr>
              <w:b/>
              <w:sz w:val="28"/>
            </w:rPr>
          </w:pPr>
        </w:p>
      </w:tc>
      <w:tc>
        <w:tcPr>
          <w:tcW w:w="5103" w:type="dxa"/>
          <w:vMerge/>
          <w:shd w:val="clear" w:color="auto" w:fill="auto"/>
          <w:vAlign w:val="center"/>
        </w:tcPr>
        <w:p w14:paraId="25B10DD3" w14:textId="77777777" w:rsidR="007332A5" w:rsidRPr="00AE28C5" w:rsidRDefault="007332A5" w:rsidP="005A2D34">
          <w:pPr>
            <w:pStyle w:val="Encabezado"/>
            <w:tabs>
              <w:tab w:val="clear" w:pos="4252"/>
              <w:tab w:val="center" w:pos="4466"/>
            </w:tabs>
            <w:spacing w:after="0" w:line="360" w:lineRule="auto"/>
            <w:ind w:left="-69" w:firstLine="211"/>
            <w:jc w:val="right"/>
          </w:pPr>
        </w:p>
      </w:tc>
    </w:tr>
  </w:tbl>
  <w:p w14:paraId="14BF2B71" w14:textId="77777777" w:rsidR="007332A5" w:rsidRPr="0085186A" w:rsidRDefault="007332A5" w:rsidP="00A25186">
    <w:pPr>
      <w:pStyle w:val="Encabezado"/>
      <w:tabs>
        <w:tab w:val="clear" w:pos="8504"/>
        <w:tab w:val="right" w:pos="9498"/>
      </w:tabs>
      <w:ind w:right="-995"/>
      <w:rPr>
        <w:rFonts w:ascii="Verdana" w:hAnsi="Verdana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7472A90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127369EC"/>
    <w:multiLevelType w:val="hybridMultilevel"/>
    <w:tmpl w:val="39BC62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28061A">
      <w:numFmt w:val="bullet"/>
      <w:lvlText w:val="•"/>
      <w:lvlJc w:val="left"/>
      <w:pPr>
        <w:ind w:left="1785" w:hanging="705"/>
      </w:pPr>
      <w:rPr>
        <w:rFonts w:ascii="Calibri" w:eastAsia="Times New Roman" w:hAnsi="Calibri" w:cstheme="minorHAns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5F3BAC"/>
    <w:multiLevelType w:val="hybridMultilevel"/>
    <w:tmpl w:val="1AE2C37E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0F5661A"/>
    <w:multiLevelType w:val="hybridMultilevel"/>
    <w:tmpl w:val="E91445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C70663"/>
    <w:multiLevelType w:val="hybridMultilevel"/>
    <w:tmpl w:val="4210CE7C"/>
    <w:lvl w:ilvl="0" w:tplc="A9EE83C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6551E5C"/>
    <w:multiLevelType w:val="hybridMultilevel"/>
    <w:tmpl w:val="9528CB7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DB21B2"/>
    <w:multiLevelType w:val="hybridMultilevel"/>
    <w:tmpl w:val="B76E69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186527"/>
    <w:multiLevelType w:val="hybridMultilevel"/>
    <w:tmpl w:val="88825E1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7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hillo Durán, Beatriz">
    <w15:presenceInfo w15:providerId="AD" w15:userId="S-1-5-21-2175672972-172467578-1129233634-12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nl-NL" w:vendorID="64" w:dllVersion="409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E18"/>
    <w:rsid w:val="00000916"/>
    <w:rsid w:val="0000244D"/>
    <w:rsid w:val="000034F8"/>
    <w:rsid w:val="00005A8D"/>
    <w:rsid w:val="00005CF0"/>
    <w:rsid w:val="00006205"/>
    <w:rsid w:val="00007BAE"/>
    <w:rsid w:val="00010028"/>
    <w:rsid w:val="00010852"/>
    <w:rsid w:val="000138C2"/>
    <w:rsid w:val="00014887"/>
    <w:rsid w:val="0001497F"/>
    <w:rsid w:val="0001590D"/>
    <w:rsid w:val="00017CE2"/>
    <w:rsid w:val="000200DB"/>
    <w:rsid w:val="000202F6"/>
    <w:rsid w:val="00021961"/>
    <w:rsid w:val="00021D47"/>
    <w:rsid w:val="00023678"/>
    <w:rsid w:val="00024DA6"/>
    <w:rsid w:val="00025B49"/>
    <w:rsid w:val="00026EFF"/>
    <w:rsid w:val="00027401"/>
    <w:rsid w:val="000274A4"/>
    <w:rsid w:val="000274F3"/>
    <w:rsid w:val="0004057A"/>
    <w:rsid w:val="00041592"/>
    <w:rsid w:val="00043F6E"/>
    <w:rsid w:val="000470A7"/>
    <w:rsid w:val="00051054"/>
    <w:rsid w:val="000535E3"/>
    <w:rsid w:val="0005415A"/>
    <w:rsid w:val="00054862"/>
    <w:rsid w:val="00054E0B"/>
    <w:rsid w:val="0005555E"/>
    <w:rsid w:val="00062482"/>
    <w:rsid w:val="00065BCA"/>
    <w:rsid w:val="00066A5F"/>
    <w:rsid w:val="00066A96"/>
    <w:rsid w:val="00071EC7"/>
    <w:rsid w:val="00073B99"/>
    <w:rsid w:val="00076F8F"/>
    <w:rsid w:val="00080E22"/>
    <w:rsid w:val="00081C8E"/>
    <w:rsid w:val="00082703"/>
    <w:rsid w:val="000833C3"/>
    <w:rsid w:val="000839A2"/>
    <w:rsid w:val="000848F5"/>
    <w:rsid w:val="000875C9"/>
    <w:rsid w:val="000879B4"/>
    <w:rsid w:val="000905E3"/>
    <w:rsid w:val="00092728"/>
    <w:rsid w:val="00093E49"/>
    <w:rsid w:val="00094BE4"/>
    <w:rsid w:val="00095037"/>
    <w:rsid w:val="0009515C"/>
    <w:rsid w:val="00096D60"/>
    <w:rsid w:val="00097549"/>
    <w:rsid w:val="00097C39"/>
    <w:rsid w:val="000A055B"/>
    <w:rsid w:val="000A10D0"/>
    <w:rsid w:val="000A143E"/>
    <w:rsid w:val="000A1B8D"/>
    <w:rsid w:val="000A1E84"/>
    <w:rsid w:val="000A4AD1"/>
    <w:rsid w:val="000A5EB1"/>
    <w:rsid w:val="000A62BA"/>
    <w:rsid w:val="000A6338"/>
    <w:rsid w:val="000A6DC1"/>
    <w:rsid w:val="000B2C02"/>
    <w:rsid w:val="000B3628"/>
    <w:rsid w:val="000B3719"/>
    <w:rsid w:val="000B45AF"/>
    <w:rsid w:val="000B61E8"/>
    <w:rsid w:val="000B62B4"/>
    <w:rsid w:val="000C2E66"/>
    <w:rsid w:val="000C4009"/>
    <w:rsid w:val="000C624B"/>
    <w:rsid w:val="000C7B32"/>
    <w:rsid w:val="000C7E4E"/>
    <w:rsid w:val="000D06A3"/>
    <w:rsid w:val="000D1D1D"/>
    <w:rsid w:val="000D2709"/>
    <w:rsid w:val="000D46C7"/>
    <w:rsid w:val="000D7666"/>
    <w:rsid w:val="000D7F1F"/>
    <w:rsid w:val="000E02E4"/>
    <w:rsid w:val="000E09E8"/>
    <w:rsid w:val="000E191D"/>
    <w:rsid w:val="000E28EE"/>
    <w:rsid w:val="000E6EA1"/>
    <w:rsid w:val="000E7E2B"/>
    <w:rsid w:val="000F27A1"/>
    <w:rsid w:val="000F2F58"/>
    <w:rsid w:val="000F344A"/>
    <w:rsid w:val="000F591C"/>
    <w:rsid w:val="000F630D"/>
    <w:rsid w:val="000F634D"/>
    <w:rsid w:val="000F7BDD"/>
    <w:rsid w:val="001006AA"/>
    <w:rsid w:val="00102069"/>
    <w:rsid w:val="00103C64"/>
    <w:rsid w:val="001042CF"/>
    <w:rsid w:val="00104A8D"/>
    <w:rsid w:val="00107E09"/>
    <w:rsid w:val="00111CAD"/>
    <w:rsid w:val="00111FE9"/>
    <w:rsid w:val="0011283F"/>
    <w:rsid w:val="00113A42"/>
    <w:rsid w:val="00114F52"/>
    <w:rsid w:val="00115C8B"/>
    <w:rsid w:val="00116D40"/>
    <w:rsid w:val="001178EC"/>
    <w:rsid w:val="0012074D"/>
    <w:rsid w:val="00122F31"/>
    <w:rsid w:val="00124E0A"/>
    <w:rsid w:val="00130075"/>
    <w:rsid w:val="0013103F"/>
    <w:rsid w:val="00132C28"/>
    <w:rsid w:val="00132D85"/>
    <w:rsid w:val="00133A25"/>
    <w:rsid w:val="001342E8"/>
    <w:rsid w:val="00136907"/>
    <w:rsid w:val="00137835"/>
    <w:rsid w:val="00141739"/>
    <w:rsid w:val="00141C4F"/>
    <w:rsid w:val="00143A21"/>
    <w:rsid w:val="0014537E"/>
    <w:rsid w:val="00151084"/>
    <w:rsid w:val="00151C14"/>
    <w:rsid w:val="0015331B"/>
    <w:rsid w:val="00153417"/>
    <w:rsid w:val="00153966"/>
    <w:rsid w:val="00160270"/>
    <w:rsid w:val="001609FF"/>
    <w:rsid w:val="00162933"/>
    <w:rsid w:val="00162A34"/>
    <w:rsid w:val="00162EBE"/>
    <w:rsid w:val="0016308B"/>
    <w:rsid w:val="0016501C"/>
    <w:rsid w:val="0016519F"/>
    <w:rsid w:val="00166B82"/>
    <w:rsid w:val="00172036"/>
    <w:rsid w:val="0017412F"/>
    <w:rsid w:val="001746AD"/>
    <w:rsid w:val="00175A24"/>
    <w:rsid w:val="00175D09"/>
    <w:rsid w:val="001764F1"/>
    <w:rsid w:val="00176BBB"/>
    <w:rsid w:val="00176C2A"/>
    <w:rsid w:val="001807AD"/>
    <w:rsid w:val="001832C2"/>
    <w:rsid w:val="00185245"/>
    <w:rsid w:val="00185A53"/>
    <w:rsid w:val="001875BB"/>
    <w:rsid w:val="00192E1C"/>
    <w:rsid w:val="0019410E"/>
    <w:rsid w:val="00194949"/>
    <w:rsid w:val="0019520D"/>
    <w:rsid w:val="00195CA9"/>
    <w:rsid w:val="001970DD"/>
    <w:rsid w:val="001975A1"/>
    <w:rsid w:val="00197692"/>
    <w:rsid w:val="00197895"/>
    <w:rsid w:val="001A0E0F"/>
    <w:rsid w:val="001A17BE"/>
    <w:rsid w:val="001A1888"/>
    <w:rsid w:val="001A1D24"/>
    <w:rsid w:val="001A23C2"/>
    <w:rsid w:val="001A3A38"/>
    <w:rsid w:val="001A565A"/>
    <w:rsid w:val="001A5AF1"/>
    <w:rsid w:val="001B1E15"/>
    <w:rsid w:val="001B261E"/>
    <w:rsid w:val="001B3CC9"/>
    <w:rsid w:val="001B485F"/>
    <w:rsid w:val="001B5056"/>
    <w:rsid w:val="001B6166"/>
    <w:rsid w:val="001B79F2"/>
    <w:rsid w:val="001B7B32"/>
    <w:rsid w:val="001B7D3F"/>
    <w:rsid w:val="001C1415"/>
    <w:rsid w:val="001C3529"/>
    <w:rsid w:val="001C3AC4"/>
    <w:rsid w:val="001C55CC"/>
    <w:rsid w:val="001C5DBA"/>
    <w:rsid w:val="001D10A6"/>
    <w:rsid w:val="001D141C"/>
    <w:rsid w:val="001D154D"/>
    <w:rsid w:val="001D18A2"/>
    <w:rsid w:val="001D1912"/>
    <w:rsid w:val="001D2A1E"/>
    <w:rsid w:val="001D3DB7"/>
    <w:rsid w:val="001D44B7"/>
    <w:rsid w:val="001D5D36"/>
    <w:rsid w:val="001D69C3"/>
    <w:rsid w:val="001D69D9"/>
    <w:rsid w:val="001D7C2B"/>
    <w:rsid w:val="001E3A09"/>
    <w:rsid w:val="001E47DA"/>
    <w:rsid w:val="001E5F9C"/>
    <w:rsid w:val="001F13BA"/>
    <w:rsid w:val="001F37BC"/>
    <w:rsid w:val="001F3920"/>
    <w:rsid w:val="001F6F17"/>
    <w:rsid w:val="001F7CBA"/>
    <w:rsid w:val="002001E9"/>
    <w:rsid w:val="002008C2"/>
    <w:rsid w:val="00202742"/>
    <w:rsid w:val="00202C48"/>
    <w:rsid w:val="0020447C"/>
    <w:rsid w:val="00206449"/>
    <w:rsid w:val="002123C4"/>
    <w:rsid w:val="00212AF4"/>
    <w:rsid w:val="00212B05"/>
    <w:rsid w:val="0021644C"/>
    <w:rsid w:val="00216F51"/>
    <w:rsid w:val="00220FF7"/>
    <w:rsid w:val="0022174A"/>
    <w:rsid w:val="0022292E"/>
    <w:rsid w:val="00223AB3"/>
    <w:rsid w:val="00224E54"/>
    <w:rsid w:val="0022569B"/>
    <w:rsid w:val="0022718B"/>
    <w:rsid w:val="002305DE"/>
    <w:rsid w:val="0023354B"/>
    <w:rsid w:val="00237065"/>
    <w:rsid w:val="00237397"/>
    <w:rsid w:val="00237D0B"/>
    <w:rsid w:val="002409B9"/>
    <w:rsid w:val="00240F12"/>
    <w:rsid w:val="00242D0C"/>
    <w:rsid w:val="00244317"/>
    <w:rsid w:val="00244ACB"/>
    <w:rsid w:val="00246F9B"/>
    <w:rsid w:val="002508C9"/>
    <w:rsid w:val="00251D7C"/>
    <w:rsid w:val="002520A5"/>
    <w:rsid w:val="002525F9"/>
    <w:rsid w:val="002536F6"/>
    <w:rsid w:val="00254D6B"/>
    <w:rsid w:val="0025524C"/>
    <w:rsid w:val="002554FB"/>
    <w:rsid w:val="00257140"/>
    <w:rsid w:val="002572D3"/>
    <w:rsid w:val="00260AE5"/>
    <w:rsid w:val="00261394"/>
    <w:rsid w:val="00262EF1"/>
    <w:rsid w:val="00267D60"/>
    <w:rsid w:val="0027078F"/>
    <w:rsid w:val="002709D1"/>
    <w:rsid w:val="00271D0C"/>
    <w:rsid w:val="0027445D"/>
    <w:rsid w:val="002752DE"/>
    <w:rsid w:val="002765AD"/>
    <w:rsid w:val="00280838"/>
    <w:rsid w:val="002815DA"/>
    <w:rsid w:val="00282F3F"/>
    <w:rsid w:val="00284406"/>
    <w:rsid w:val="002857FD"/>
    <w:rsid w:val="00287886"/>
    <w:rsid w:val="002955E6"/>
    <w:rsid w:val="00295ED5"/>
    <w:rsid w:val="00297FDB"/>
    <w:rsid w:val="002A118F"/>
    <w:rsid w:val="002A13B0"/>
    <w:rsid w:val="002A2E49"/>
    <w:rsid w:val="002A2FAD"/>
    <w:rsid w:val="002A3E0F"/>
    <w:rsid w:val="002A610B"/>
    <w:rsid w:val="002B1BEA"/>
    <w:rsid w:val="002B1C6C"/>
    <w:rsid w:val="002B3542"/>
    <w:rsid w:val="002B390E"/>
    <w:rsid w:val="002B4C6C"/>
    <w:rsid w:val="002B5D49"/>
    <w:rsid w:val="002B6154"/>
    <w:rsid w:val="002B7EE7"/>
    <w:rsid w:val="002C4C78"/>
    <w:rsid w:val="002C6614"/>
    <w:rsid w:val="002D12F4"/>
    <w:rsid w:val="002D1A3A"/>
    <w:rsid w:val="002D1E86"/>
    <w:rsid w:val="002D3E95"/>
    <w:rsid w:val="002E0192"/>
    <w:rsid w:val="002E0DE7"/>
    <w:rsid w:val="002E1B35"/>
    <w:rsid w:val="002E3FA3"/>
    <w:rsid w:val="002E44F6"/>
    <w:rsid w:val="002E4CC2"/>
    <w:rsid w:val="002E4E6A"/>
    <w:rsid w:val="002E7D6A"/>
    <w:rsid w:val="002F1A46"/>
    <w:rsid w:val="002F2025"/>
    <w:rsid w:val="002F2C62"/>
    <w:rsid w:val="002F351F"/>
    <w:rsid w:val="002F3C25"/>
    <w:rsid w:val="002F623F"/>
    <w:rsid w:val="0030076C"/>
    <w:rsid w:val="0030265B"/>
    <w:rsid w:val="00303AA9"/>
    <w:rsid w:val="003040F8"/>
    <w:rsid w:val="00304B28"/>
    <w:rsid w:val="003068C0"/>
    <w:rsid w:val="00306B13"/>
    <w:rsid w:val="00306C59"/>
    <w:rsid w:val="003072B1"/>
    <w:rsid w:val="003129BF"/>
    <w:rsid w:val="00316FEA"/>
    <w:rsid w:val="00317BA4"/>
    <w:rsid w:val="00321E55"/>
    <w:rsid w:val="003234C1"/>
    <w:rsid w:val="003237B3"/>
    <w:rsid w:val="00330024"/>
    <w:rsid w:val="00330C6D"/>
    <w:rsid w:val="00330CA9"/>
    <w:rsid w:val="00331960"/>
    <w:rsid w:val="00333372"/>
    <w:rsid w:val="00335B0A"/>
    <w:rsid w:val="00335CD3"/>
    <w:rsid w:val="00344057"/>
    <w:rsid w:val="00344E2F"/>
    <w:rsid w:val="003455B6"/>
    <w:rsid w:val="00351205"/>
    <w:rsid w:val="00351C75"/>
    <w:rsid w:val="00353C09"/>
    <w:rsid w:val="00355933"/>
    <w:rsid w:val="00355B9B"/>
    <w:rsid w:val="003566A4"/>
    <w:rsid w:val="0035697D"/>
    <w:rsid w:val="00362B79"/>
    <w:rsid w:val="003669B7"/>
    <w:rsid w:val="00370793"/>
    <w:rsid w:val="0037218D"/>
    <w:rsid w:val="00372553"/>
    <w:rsid w:val="00374030"/>
    <w:rsid w:val="003777C7"/>
    <w:rsid w:val="003816E0"/>
    <w:rsid w:val="00387E9B"/>
    <w:rsid w:val="00391E8A"/>
    <w:rsid w:val="00392F33"/>
    <w:rsid w:val="00396AD7"/>
    <w:rsid w:val="003A017C"/>
    <w:rsid w:val="003A4771"/>
    <w:rsid w:val="003A5B4C"/>
    <w:rsid w:val="003A6714"/>
    <w:rsid w:val="003A7B46"/>
    <w:rsid w:val="003B094E"/>
    <w:rsid w:val="003B1C06"/>
    <w:rsid w:val="003B34F7"/>
    <w:rsid w:val="003B395A"/>
    <w:rsid w:val="003B3C92"/>
    <w:rsid w:val="003B63A8"/>
    <w:rsid w:val="003C4990"/>
    <w:rsid w:val="003C4DE4"/>
    <w:rsid w:val="003C5161"/>
    <w:rsid w:val="003C5428"/>
    <w:rsid w:val="003D1CA2"/>
    <w:rsid w:val="003D23C4"/>
    <w:rsid w:val="003D61F8"/>
    <w:rsid w:val="003D6FBD"/>
    <w:rsid w:val="003E063F"/>
    <w:rsid w:val="003E0A7C"/>
    <w:rsid w:val="003E0C01"/>
    <w:rsid w:val="003E165B"/>
    <w:rsid w:val="003E35DD"/>
    <w:rsid w:val="003E590D"/>
    <w:rsid w:val="003E5BC7"/>
    <w:rsid w:val="003E79F4"/>
    <w:rsid w:val="003E7CEF"/>
    <w:rsid w:val="003F01FD"/>
    <w:rsid w:val="003F09E1"/>
    <w:rsid w:val="003F1166"/>
    <w:rsid w:val="003F3937"/>
    <w:rsid w:val="003F60F4"/>
    <w:rsid w:val="00401897"/>
    <w:rsid w:val="00401A23"/>
    <w:rsid w:val="00401A39"/>
    <w:rsid w:val="0040238E"/>
    <w:rsid w:val="0040344F"/>
    <w:rsid w:val="0040582E"/>
    <w:rsid w:val="00406157"/>
    <w:rsid w:val="00407A02"/>
    <w:rsid w:val="004101C5"/>
    <w:rsid w:val="00410FB9"/>
    <w:rsid w:val="004114A5"/>
    <w:rsid w:val="004128C7"/>
    <w:rsid w:val="00414E9C"/>
    <w:rsid w:val="004162B9"/>
    <w:rsid w:val="00416684"/>
    <w:rsid w:val="004171D7"/>
    <w:rsid w:val="0041729C"/>
    <w:rsid w:val="004223F3"/>
    <w:rsid w:val="00424460"/>
    <w:rsid w:val="004250D8"/>
    <w:rsid w:val="00426694"/>
    <w:rsid w:val="00426C28"/>
    <w:rsid w:val="004277D2"/>
    <w:rsid w:val="004313E0"/>
    <w:rsid w:val="004319B1"/>
    <w:rsid w:val="00433CB2"/>
    <w:rsid w:val="004348B9"/>
    <w:rsid w:val="004366E3"/>
    <w:rsid w:val="00443661"/>
    <w:rsid w:val="00443B82"/>
    <w:rsid w:val="00444112"/>
    <w:rsid w:val="004449E6"/>
    <w:rsid w:val="00444AAD"/>
    <w:rsid w:val="00444B0E"/>
    <w:rsid w:val="00446197"/>
    <w:rsid w:val="0044695D"/>
    <w:rsid w:val="00451ADA"/>
    <w:rsid w:val="00452045"/>
    <w:rsid w:val="004523D2"/>
    <w:rsid w:val="00453DAB"/>
    <w:rsid w:val="0045575D"/>
    <w:rsid w:val="00455F8E"/>
    <w:rsid w:val="00456C9F"/>
    <w:rsid w:val="00456F5D"/>
    <w:rsid w:val="00457D4C"/>
    <w:rsid w:val="00463405"/>
    <w:rsid w:val="004638CB"/>
    <w:rsid w:val="00466488"/>
    <w:rsid w:val="0046791D"/>
    <w:rsid w:val="00470F69"/>
    <w:rsid w:val="00471EDF"/>
    <w:rsid w:val="00471EEA"/>
    <w:rsid w:val="00472EC6"/>
    <w:rsid w:val="004739E1"/>
    <w:rsid w:val="00473D0C"/>
    <w:rsid w:val="004742B8"/>
    <w:rsid w:val="0047579B"/>
    <w:rsid w:val="00481515"/>
    <w:rsid w:val="004831C5"/>
    <w:rsid w:val="004845FB"/>
    <w:rsid w:val="00484FC1"/>
    <w:rsid w:val="004853A6"/>
    <w:rsid w:val="0048600D"/>
    <w:rsid w:val="00486E70"/>
    <w:rsid w:val="00487DD2"/>
    <w:rsid w:val="0049069A"/>
    <w:rsid w:val="00492EF8"/>
    <w:rsid w:val="004935B3"/>
    <w:rsid w:val="00494D06"/>
    <w:rsid w:val="0049541E"/>
    <w:rsid w:val="00495EDC"/>
    <w:rsid w:val="004962FE"/>
    <w:rsid w:val="0049696E"/>
    <w:rsid w:val="004A1D93"/>
    <w:rsid w:val="004A2A0E"/>
    <w:rsid w:val="004A36F1"/>
    <w:rsid w:val="004A3A08"/>
    <w:rsid w:val="004A3B2F"/>
    <w:rsid w:val="004A4A17"/>
    <w:rsid w:val="004A76AF"/>
    <w:rsid w:val="004A7F8F"/>
    <w:rsid w:val="004B0EFB"/>
    <w:rsid w:val="004B3274"/>
    <w:rsid w:val="004B6920"/>
    <w:rsid w:val="004B70BC"/>
    <w:rsid w:val="004B736E"/>
    <w:rsid w:val="004C2D2F"/>
    <w:rsid w:val="004C330E"/>
    <w:rsid w:val="004C551D"/>
    <w:rsid w:val="004C5F76"/>
    <w:rsid w:val="004C785D"/>
    <w:rsid w:val="004D0E00"/>
    <w:rsid w:val="004D2FF4"/>
    <w:rsid w:val="004D3B16"/>
    <w:rsid w:val="004D4BF4"/>
    <w:rsid w:val="004D529D"/>
    <w:rsid w:val="004E0A74"/>
    <w:rsid w:val="004E170C"/>
    <w:rsid w:val="004E21DC"/>
    <w:rsid w:val="004E26FD"/>
    <w:rsid w:val="004E2A27"/>
    <w:rsid w:val="004E2FC4"/>
    <w:rsid w:val="004F0C95"/>
    <w:rsid w:val="004F0F49"/>
    <w:rsid w:val="004F1D2E"/>
    <w:rsid w:val="004F3643"/>
    <w:rsid w:val="004F4582"/>
    <w:rsid w:val="004F4DB4"/>
    <w:rsid w:val="005000A9"/>
    <w:rsid w:val="00501334"/>
    <w:rsid w:val="0050166E"/>
    <w:rsid w:val="005038D5"/>
    <w:rsid w:val="00503947"/>
    <w:rsid w:val="00503CFD"/>
    <w:rsid w:val="00504EE0"/>
    <w:rsid w:val="00506B64"/>
    <w:rsid w:val="00510A8C"/>
    <w:rsid w:val="00510CAD"/>
    <w:rsid w:val="00510EE0"/>
    <w:rsid w:val="00513514"/>
    <w:rsid w:val="005143DE"/>
    <w:rsid w:val="005163E9"/>
    <w:rsid w:val="00525998"/>
    <w:rsid w:val="00527078"/>
    <w:rsid w:val="00527EB3"/>
    <w:rsid w:val="00530213"/>
    <w:rsid w:val="00530CDB"/>
    <w:rsid w:val="00530D92"/>
    <w:rsid w:val="00530FFC"/>
    <w:rsid w:val="00532809"/>
    <w:rsid w:val="005333D5"/>
    <w:rsid w:val="00533E0C"/>
    <w:rsid w:val="0053595D"/>
    <w:rsid w:val="00544C61"/>
    <w:rsid w:val="00544DD6"/>
    <w:rsid w:val="00545CF9"/>
    <w:rsid w:val="00546192"/>
    <w:rsid w:val="0054764D"/>
    <w:rsid w:val="00547F75"/>
    <w:rsid w:val="0055228B"/>
    <w:rsid w:val="00553C04"/>
    <w:rsid w:val="005545C7"/>
    <w:rsid w:val="005553DE"/>
    <w:rsid w:val="0056109A"/>
    <w:rsid w:val="00563589"/>
    <w:rsid w:val="005643C7"/>
    <w:rsid w:val="00565D9A"/>
    <w:rsid w:val="00567FF1"/>
    <w:rsid w:val="005718AF"/>
    <w:rsid w:val="005727FC"/>
    <w:rsid w:val="00573223"/>
    <w:rsid w:val="0057533F"/>
    <w:rsid w:val="00575E67"/>
    <w:rsid w:val="00577784"/>
    <w:rsid w:val="00577E77"/>
    <w:rsid w:val="005803FA"/>
    <w:rsid w:val="00580EDC"/>
    <w:rsid w:val="0058116F"/>
    <w:rsid w:val="00581306"/>
    <w:rsid w:val="00583FAF"/>
    <w:rsid w:val="00587873"/>
    <w:rsid w:val="005913F6"/>
    <w:rsid w:val="00591744"/>
    <w:rsid w:val="0059177B"/>
    <w:rsid w:val="00591ED5"/>
    <w:rsid w:val="00592B63"/>
    <w:rsid w:val="0059352E"/>
    <w:rsid w:val="005943DF"/>
    <w:rsid w:val="00595E12"/>
    <w:rsid w:val="00597137"/>
    <w:rsid w:val="005978B9"/>
    <w:rsid w:val="005A1558"/>
    <w:rsid w:val="005A2D34"/>
    <w:rsid w:val="005A5616"/>
    <w:rsid w:val="005A7126"/>
    <w:rsid w:val="005A7524"/>
    <w:rsid w:val="005B1518"/>
    <w:rsid w:val="005B25C1"/>
    <w:rsid w:val="005B3A6B"/>
    <w:rsid w:val="005B54AB"/>
    <w:rsid w:val="005B7626"/>
    <w:rsid w:val="005C00C3"/>
    <w:rsid w:val="005C0E8C"/>
    <w:rsid w:val="005C1180"/>
    <w:rsid w:val="005C245C"/>
    <w:rsid w:val="005C6756"/>
    <w:rsid w:val="005D15DA"/>
    <w:rsid w:val="005D1EB3"/>
    <w:rsid w:val="005D236F"/>
    <w:rsid w:val="005D3BD9"/>
    <w:rsid w:val="005D4364"/>
    <w:rsid w:val="005D5522"/>
    <w:rsid w:val="005D7741"/>
    <w:rsid w:val="005D7EE6"/>
    <w:rsid w:val="005E0D0C"/>
    <w:rsid w:val="005E2C4C"/>
    <w:rsid w:val="005E4A8A"/>
    <w:rsid w:val="005E5861"/>
    <w:rsid w:val="005E5E3D"/>
    <w:rsid w:val="005E6643"/>
    <w:rsid w:val="005E6CE5"/>
    <w:rsid w:val="005E7F9E"/>
    <w:rsid w:val="005F12FF"/>
    <w:rsid w:val="005F25A4"/>
    <w:rsid w:val="005F314B"/>
    <w:rsid w:val="005F46B2"/>
    <w:rsid w:val="005F5952"/>
    <w:rsid w:val="006028CC"/>
    <w:rsid w:val="006032B0"/>
    <w:rsid w:val="006049F0"/>
    <w:rsid w:val="006067A4"/>
    <w:rsid w:val="006074C5"/>
    <w:rsid w:val="00607601"/>
    <w:rsid w:val="00610594"/>
    <w:rsid w:val="00610722"/>
    <w:rsid w:val="006117C0"/>
    <w:rsid w:val="00612E61"/>
    <w:rsid w:val="006151BA"/>
    <w:rsid w:val="006178E0"/>
    <w:rsid w:val="00617F9E"/>
    <w:rsid w:val="00620647"/>
    <w:rsid w:val="0062081A"/>
    <w:rsid w:val="00621B11"/>
    <w:rsid w:val="00621C62"/>
    <w:rsid w:val="00624046"/>
    <w:rsid w:val="006247A7"/>
    <w:rsid w:val="00625507"/>
    <w:rsid w:val="006255DC"/>
    <w:rsid w:val="00625E03"/>
    <w:rsid w:val="006311C2"/>
    <w:rsid w:val="00631AE0"/>
    <w:rsid w:val="006337F7"/>
    <w:rsid w:val="00635396"/>
    <w:rsid w:val="006357FD"/>
    <w:rsid w:val="00635F75"/>
    <w:rsid w:val="006363B9"/>
    <w:rsid w:val="00640F51"/>
    <w:rsid w:val="00643629"/>
    <w:rsid w:val="006440D7"/>
    <w:rsid w:val="00645B49"/>
    <w:rsid w:val="00646186"/>
    <w:rsid w:val="00646519"/>
    <w:rsid w:val="00646838"/>
    <w:rsid w:val="00646AEF"/>
    <w:rsid w:val="00662033"/>
    <w:rsid w:val="0066222A"/>
    <w:rsid w:val="00663B5B"/>
    <w:rsid w:val="006647F3"/>
    <w:rsid w:val="0066490C"/>
    <w:rsid w:val="00664C01"/>
    <w:rsid w:val="0066683C"/>
    <w:rsid w:val="00666A3C"/>
    <w:rsid w:val="0067064D"/>
    <w:rsid w:val="00670C85"/>
    <w:rsid w:val="00671187"/>
    <w:rsid w:val="00671DBE"/>
    <w:rsid w:val="00672097"/>
    <w:rsid w:val="00675F3D"/>
    <w:rsid w:val="006814DF"/>
    <w:rsid w:val="006830CE"/>
    <w:rsid w:val="006843F9"/>
    <w:rsid w:val="00691EDD"/>
    <w:rsid w:val="00692AC2"/>
    <w:rsid w:val="00692B1F"/>
    <w:rsid w:val="006932DF"/>
    <w:rsid w:val="00694DDE"/>
    <w:rsid w:val="00695CB1"/>
    <w:rsid w:val="00695F92"/>
    <w:rsid w:val="006A17A6"/>
    <w:rsid w:val="006A2E12"/>
    <w:rsid w:val="006A2F98"/>
    <w:rsid w:val="006A6089"/>
    <w:rsid w:val="006A6118"/>
    <w:rsid w:val="006B04FC"/>
    <w:rsid w:val="006B1857"/>
    <w:rsid w:val="006B1F4B"/>
    <w:rsid w:val="006B209B"/>
    <w:rsid w:val="006B20B4"/>
    <w:rsid w:val="006B3621"/>
    <w:rsid w:val="006B3CCE"/>
    <w:rsid w:val="006B461E"/>
    <w:rsid w:val="006B5335"/>
    <w:rsid w:val="006B6A07"/>
    <w:rsid w:val="006C087D"/>
    <w:rsid w:val="006C2204"/>
    <w:rsid w:val="006C33C1"/>
    <w:rsid w:val="006C4735"/>
    <w:rsid w:val="006C4F8B"/>
    <w:rsid w:val="006C5662"/>
    <w:rsid w:val="006D0C52"/>
    <w:rsid w:val="006D1C2E"/>
    <w:rsid w:val="006D2EBD"/>
    <w:rsid w:val="006D429E"/>
    <w:rsid w:val="006D60B3"/>
    <w:rsid w:val="006D6775"/>
    <w:rsid w:val="006D6B54"/>
    <w:rsid w:val="006D70C3"/>
    <w:rsid w:val="006E07ED"/>
    <w:rsid w:val="006E0B86"/>
    <w:rsid w:val="006E134E"/>
    <w:rsid w:val="006E1576"/>
    <w:rsid w:val="006E325F"/>
    <w:rsid w:val="006E3B9D"/>
    <w:rsid w:val="006E3BF3"/>
    <w:rsid w:val="006E5561"/>
    <w:rsid w:val="006E5993"/>
    <w:rsid w:val="006E6EF3"/>
    <w:rsid w:val="006E7746"/>
    <w:rsid w:val="006F0146"/>
    <w:rsid w:val="006F0DE9"/>
    <w:rsid w:val="006F1B27"/>
    <w:rsid w:val="006F2EEF"/>
    <w:rsid w:val="006F346F"/>
    <w:rsid w:val="006F3D33"/>
    <w:rsid w:val="006F532F"/>
    <w:rsid w:val="006F625B"/>
    <w:rsid w:val="006F7333"/>
    <w:rsid w:val="006F7430"/>
    <w:rsid w:val="0070221F"/>
    <w:rsid w:val="00712895"/>
    <w:rsid w:val="007134F1"/>
    <w:rsid w:val="00714849"/>
    <w:rsid w:val="00716894"/>
    <w:rsid w:val="00717C27"/>
    <w:rsid w:val="00721897"/>
    <w:rsid w:val="00721948"/>
    <w:rsid w:val="00722B98"/>
    <w:rsid w:val="00723A0E"/>
    <w:rsid w:val="00724018"/>
    <w:rsid w:val="007243E9"/>
    <w:rsid w:val="00725CF5"/>
    <w:rsid w:val="00725DE1"/>
    <w:rsid w:val="007263CE"/>
    <w:rsid w:val="0073039F"/>
    <w:rsid w:val="00731B92"/>
    <w:rsid w:val="007332A5"/>
    <w:rsid w:val="007346D4"/>
    <w:rsid w:val="00734E77"/>
    <w:rsid w:val="007354B0"/>
    <w:rsid w:val="00735F87"/>
    <w:rsid w:val="0073789C"/>
    <w:rsid w:val="007401F8"/>
    <w:rsid w:val="00741182"/>
    <w:rsid w:val="0074186B"/>
    <w:rsid w:val="007447DD"/>
    <w:rsid w:val="00750407"/>
    <w:rsid w:val="00751EBB"/>
    <w:rsid w:val="007535C9"/>
    <w:rsid w:val="00753FC3"/>
    <w:rsid w:val="00756CD9"/>
    <w:rsid w:val="007579B5"/>
    <w:rsid w:val="00760F60"/>
    <w:rsid w:val="00764F19"/>
    <w:rsid w:val="00770A04"/>
    <w:rsid w:val="007711B0"/>
    <w:rsid w:val="007738CB"/>
    <w:rsid w:val="00775233"/>
    <w:rsid w:val="00775434"/>
    <w:rsid w:val="00776977"/>
    <w:rsid w:val="00784916"/>
    <w:rsid w:val="00785901"/>
    <w:rsid w:val="00785957"/>
    <w:rsid w:val="00785C4A"/>
    <w:rsid w:val="00785DC5"/>
    <w:rsid w:val="00787AA3"/>
    <w:rsid w:val="00791AB7"/>
    <w:rsid w:val="00792C59"/>
    <w:rsid w:val="0079336D"/>
    <w:rsid w:val="007955CF"/>
    <w:rsid w:val="00795F18"/>
    <w:rsid w:val="007A0E26"/>
    <w:rsid w:val="007A0FEC"/>
    <w:rsid w:val="007A2DCA"/>
    <w:rsid w:val="007A5BE2"/>
    <w:rsid w:val="007B1910"/>
    <w:rsid w:val="007B5834"/>
    <w:rsid w:val="007B5972"/>
    <w:rsid w:val="007B6A2B"/>
    <w:rsid w:val="007B7034"/>
    <w:rsid w:val="007B75C4"/>
    <w:rsid w:val="007C1A78"/>
    <w:rsid w:val="007C6AD2"/>
    <w:rsid w:val="007D5F95"/>
    <w:rsid w:val="007E2847"/>
    <w:rsid w:val="007E6AD7"/>
    <w:rsid w:val="007E779A"/>
    <w:rsid w:val="007F03D1"/>
    <w:rsid w:val="007F215A"/>
    <w:rsid w:val="007F27F5"/>
    <w:rsid w:val="007F3629"/>
    <w:rsid w:val="007F6266"/>
    <w:rsid w:val="008006E1"/>
    <w:rsid w:val="008009E0"/>
    <w:rsid w:val="00800BB4"/>
    <w:rsid w:val="008030E9"/>
    <w:rsid w:val="00803832"/>
    <w:rsid w:val="00806510"/>
    <w:rsid w:val="00806E25"/>
    <w:rsid w:val="00811BB7"/>
    <w:rsid w:val="008155D5"/>
    <w:rsid w:val="008179A4"/>
    <w:rsid w:val="00820E72"/>
    <w:rsid w:val="00822F38"/>
    <w:rsid w:val="0082394E"/>
    <w:rsid w:val="008253BD"/>
    <w:rsid w:val="00825D9C"/>
    <w:rsid w:val="00825EA9"/>
    <w:rsid w:val="00834DC7"/>
    <w:rsid w:val="008360B7"/>
    <w:rsid w:val="0083767E"/>
    <w:rsid w:val="00843913"/>
    <w:rsid w:val="008511AF"/>
    <w:rsid w:val="0085186A"/>
    <w:rsid w:val="0085253D"/>
    <w:rsid w:val="00853168"/>
    <w:rsid w:val="00854B22"/>
    <w:rsid w:val="0085534C"/>
    <w:rsid w:val="00855695"/>
    <w:rsid w:val="008616C1"/>
    <w:rsid w:val="008634C5"/>
    <w:rsid w:val="00863DC4"/>
    <w:rsid w:val="0086525F"/>
    <w:rsid w:val="0086773F"/>
    <w:rsid w:val="008700E5"/>
    <w:rsid w:val="0087146D"/>
    <w:rsid w:val="00871AE2"/>
    <w:rsid w:val="0087238B"/>
    <w:rsid w:val="008759BA"/>
    <w:rsid w:val="00880A00"/>
    <w:rsid w:val="008817D8"/>
    <w:rsid w:val="00881F31"/>
    <w:rsid w:val="00882AE8"/>
    <w:rsid w:val="00883F75"/>
    <w:rsid w:val="00886EAB"/>
    <w:rsid w:val="00890107"/>
    <w:rsid w:val="00892769"/>
    <w:rsid w:val="00893F4F"/>
    <w:rsid w:val="008944E0"/>
    <w:rsid w:val="008958A7"/>
    <w:rsid w:val="00895D7D"/>
    <w:rsid w:val="00897C35"/>
    <w:rsid w:val="008A0EF1"/>
    <w:rsid w:val="008A72DF"/>
    <w:rsid w:val="008A7384"/>
    <w:rsid w:val="008B1106"/>
    <w:rsid w:val="008B1B6B"/>
    <w:rsid w:val="008B21CB"/>
    <w:rsid w:val="008B45C6"/>
    <w:rsid w:val="008B4BD8"/>
    <w:rsid w:val="008B57A6"/>
    <w:rsid w:val="008B59AD"/>
    <w:rsid w:val="008B67F0"/>
    <w:rsid w:val="008B70C6"/>
    <w:rsid w:val="008C2B82"/>
    <w:rsid w:val="008C303C"/>
    <w:rsid w:val="008C50FC"/>
    <w:rsid w:val="008C56C5"/>
    <w:rsid w:val="008C72EB"/>
    <w:rsid w:val="008D10CD"/>
    <w:rsid w:val="008D215E"/>
    <w:rsid w:val="008D6D3A"/>
    <w:rsid w:val="008E06DC"/>
    <w:rsid w:val="008E1504"/>
    <w:rsid w:val="008E15A8"/>
    <w:rsid w:val="008E4288"/>
    <w:rsid w:val="008F4791"/>
    <w:rsid w:val="008F597D"/>
    <w:rsid w:val="0090026D"/>
    <w:rsid w:val="009007E8"/>
    <w:rsid w:val="009008F9"/>
    <w:rsid w:val="00900B32"/>
    <w:rsid w:val="00902C79"/>
    <w:rsid w:val="009041D8"/>
    <w:rsid w:val="00906373"/>
    <w:rsid w:val="0091076A"/>
    <w:rsid w:val="00910CD8"/>
    <w:rsid w:val="00911801"/>
    <w:rsid w:val="009120C7"/>
    <w:rsid w:val="00912631"/>
    <w:rsid w:val="0091455B"/>
    <w:rsid w:val="00916B78"/>
    <w:rsid w:val="009205EE"/>
    <w:rsid w:val="009206CE"/>
    <w:rsid w:val="009212DA"/>
    <w:rsid w:val="009217CA"/>
    <w:rsid w:val="00926009"/>
    <w:rsid w:val="00926A69"/>
    <w:rsid w:val="00931E52"/>
    <w:rsid w:val="0093232D"/>
    <w:rsid w:val="009339A6"/>
    <w:rsid w:val="0093644A"/>
    <w:rsid w:val="00936EF9"/>
    <w:rsid w:val="009415A5"/>
    <w:rsid w:val="009425A5"/>
    <w:rsid w:val="00942A87"/>
    <w:rsid w:val="00942F10"/>
    <w:rsid w:val="00944C50"/>
    <w:rsid w:val="00944CC8"/>
    <w:rsid w:val="00944E71"/>
    <w:rsid w:val="00945ADF"/>
    <w:rsid w:val="00946C4F"/>
    <w:rsid w:val="009513E1"/>
    <w:rsid w:val="00951FAF"/>
    <w:rsid w:val="00952224"/>
    <w:rsid w:val="00952CAB"/>
    <w:rsid w:val="009570C0"/>
    <w:rsid w:val="00957324"/>
    <w:rsid w:val="00960636"/>
    <w:rsid w:val="00961A76"/>
    <w:rsid w:val="00962AEF"/>
    <w:rsid w:val="009633E2"/>
    <w:rsid w:val="0096611A"/>
    <w:rsid w:val="00970B21"/>
    <w:rsid w:val="009758C3"/>
    <w:rsid w:val="00981F26"/>
    <w:rsid w:val="00982341"/>
    <w:rsid w:val="009825BC"/>
    <w:rsid w:val="0098272E"/>
    <w:rsid w:val="00985844"/>
    <w:rsid w:val="0098607E"/>
    <w:rsid w:val="00987448"/>
    <w:rsid w:val="0099026F"/>
    <w:rsid w:val="0099099E"/>
    <w:rsid w:val="00990E65"/>
    <w:rsid w:val="00994872"/>
    <w:rsid w:val="00995651"/>
    <w:rsid w:val="009A15DF"/>
    <w:rsid w:val="009A16D5"/>
    <w:rsid w:val="009A2736"/>
    <w:rsid w:val="009A79B6"/>
    <w:rsid w:val="009A7C50"/>
    <w:rsid w:val="009B13C1"/>
    <w:rsid w:val="009B144E"/>
    <w:rsid w:val="009B18BB"/>
    <w:rsid w:val="009B34C4"/>
    <w:rsid w:val="009B495E"/>
    <w:rsid w:val="009B577D"/>
    <w:rsid w:val="009B59A1"/>
    <w:rsid w:val="009C00D0"/>
    <w:rsid w:val="009C5B09"/>
    <w:rsid w:val="009C6A06"/>
    <w:rsid w:val="009D036E"/>
    <w:rsid w:val="009D0C0B"/>
    <w:rsid w:val="009D0C1D"/>
    <w:rsid w:val="009D2CBD"/>
    <w:rsid w:val="009D306D"/>
    <w:rsid w:val="009D3F5D"/>
    <w:rsid w:val="009D6484"/>
    <w:rsid w:val="009D64CA"/>
    <w:rsid w:val="009D712F"/>
    <w:rsid w:val="009E0BFB"/>
    <w:rsid w:val="009E0C18"/>
    <w:rsid w:val="009E371A"/>
    <w:rsid w:val="009E5005"/>
    <w:rsid w:val="009E5107"/>
    <w:rsid w:val="009E52AF"/>
    <w:rsid w:val="009E63AD"/>
    <w:rsid w:val="009F1BA9"/>
    <w:rsid w:val="009F1D95"/>
    <w:rsid w:val="009F272F"/>
    <w:rsid w:val="009F3B1F"/>
    <w:rsid w:val="009F5EE8"/>
    <w:rsid w:val="009F79E3"/>
    <w:rsid w:val="00A0086B"/>
    <w:rsid w:val="00A00C8A"/>
    <w:rsid w:val="00A0143B"/>
    <w:rsid w:val="00A039DC"/>
    <w:rsid w:val="00A03EE9"/>
    <w:rsid w:val="00A0659B"/>
    <w:rsid w:val="00A10E35"/>
    <w:rsid w:val="00A13101"/>
    <w:rsid w:val="00A13919"/>
    <w:rsid w:val="00A1716E"/>
    <w:rsid w:val="00A20A88"/>
    <w:rsid w:val="00A2296D"/>
    <w:rsid w:val="00A23224"/>
    <w:rsid w:val="00A2336E"/>
    <w:rsid w:val="00A23D91"/>
    <w:rsid w:val="00A24DD7"/>
    <w:rsid w:val="00A25186"/>
    <w:rsid w:val="00A27114"/>
    <w:rsid w:val="00A27E1D"/>
    <w:rsid w:val="00A30E38"/>
    <w:rsid w:val="00A317B2"/>
    <w:rsid w:val="00A31C59"/>
    <w:rsid w:val="00A33238"/>
    <w:rsid w:val="00A33EBC"/>
    <w:rsid w:val="00A34356"/>
    <w:rsid w:val="00A35B6C"/>
    <w:rsid w:val="00A35ED6"/>
    <w:rsid w:val="00A371BF"/>
    <w:rsid w:val="00A37BE3"/>
    <w:rsid w:val="00A37D44"/>
    <w:rsid w:val="00A400BB"/>
    <w:rsid w:val="00A40393"/>
    <w:rsid w:val="00A4073B"/>
    <w:rsid w:val="00A41D17"/>
    <w:rsid w:val="00A4250B"/>
    <w:rsid w:val="00A427DE"/>
    <w:rsid w:val="00A43535"/>
    <w:rsid w:val="00A46894"/>
    <w:rsid w:val="00A51922"/>
    <w:rsid w:val="00A51E26"/>
    <w:rsid w:val="00A52EDC"/>
    <w:rsid w:val="00A5493F"/>
    <w:rsid w:val="00A54967"/>
    <w:rsid w:val="00A571BA"/>
    <w:rsid w:val="00A6079D"/>
    <w:rsid w:val="00A61AD5"/>
    <w:rsid w:val="00A622C9"/>
    <w:rsid w:val="00A62DF0"/>
    <w:rsid w:val="00A6339E"/>
    <w:rsid w:val="00A65078"/>
    <w:rsid w:val="00A657E2"/>
    <w:rsid w:val="00A658B5"/>
    <w:rsid w:val="00A6696D"/>
    <w:rsid w:val="00A726D2"/>
    <w:rsid w:val="00A731C8"/>
    <w:rsid w:val="00A746A4"/>
    <w:rsid w:val="00A7488C"/>
    <w:rsid w:val="00A759E1"/>
    <w:rsid w:val="00A7628A"/>
    <w:rsid w:val="00A76722"/>
    <w:rsid w:val="00A77FAC"/>
    <w:rsid w:val="00A80814"/>
    <w:rsid w:val="00A80E2F"/>
    <w:rsid w:val="00A846DE"/>
    <w:rsid w:val="00A866EE"/>
    <w:rsid w:val="00A867E3"/>
    <w:rsid w:val="00A903CE"/>
    <w:rsid w:val="00A905C1"/>
    <w:rsid w:val="00A925CB"/>
    <w:rsid w:val="00A94204"/>
    <w:rsid w:val="00A94E73"/>
    <w:rsid w:val="00A9601B"/>
    <w:rsid w:val="00A96572"/>
    <w:rsid w:val="00A96BAC"/>
    <w:rsid w:val="00AA26D4"/>
    <w:rsid w:val="00AA3CDB"/>
    <w:rsid w:val="00AB000D"/>
    <w:rsid w:val="00AB0DD0"/>
    <w:rsid w:val="00AB18C7"/>
    <w:rsid w:val="00AB68F1"/>
    <w:rsid w:val="00AB7D7C"/>
    <w:rsid w:val="00AC048D"/>
    <w:rsid w:val="00AC1B31"/>
    <w:rsid w:val="00AC30F6"/>
    <w:rsid w:val="00AC3601"/>
    <w:rsid w:val="00AC3AC5"/>
    <w:rsid w:val="00AC3D92"/>
    <w:rsid w:val="00AC5E55"/>
    <w:rsid w:val="00AD1BE6"/>
    <w:rsid w:val="00AD449F"/>
    <w:rsid w:val="00AD4A5E"/>
    <w:rsid w:val="00AD62BF"/>
    <w:rsid w:val="00AD7B55"/>
    <w:rsid w:val="00AE0151"/>
    <w:rsid w:val="00AE301B"/>
    <w:rsid w:val="00AE38C5"/>
    <w:rsid w:val="00AE4499"/>
    <w:rsid w:val="00AE4CCE"/>
    <w:rsid w:val="00AE5874"/>
    <w:rsid w:val="00AE5AF0"/>
    <w:rsid w:val="00AE63D2"/>
    <w:rsid w:val="00AE766E"/>
    <w:rsid w:val="00AF02E2"/>
    <w:rsid w:val="00AF17F7"/>
    <w:rsid w:val="00AF321D"/>
    <w:rsid w:val="00AF4479"/>
    <w:rsid w:val="00AF4F59"/>
    <w:rsid w:val="00AF769A"/>
    <w:rsid w:val="00AF78C1"/>
    <w:rsid w:val="00B02CAF"/>
    <w:rsid w:val="00B03FAC"/>
    <w:rsid w:val="00B06159"/>
    <w:rsid w:val="00B101FF"/>
    <w:rsid w:val="00B108F0"/>
    <w:rsid w:val="00B10C62"/>
    <w:rsid w:val="00B10FAF"/>
    <w:rsid w:val="00B11A72"/>
    <w:rsid w:val="00B143AD"/>
    <w:rsid w:val="00B2071F"/>
    <w:rsid w:val="00B2334B"/>
    <w:rsid w:val="00B23ECD"/>
    <w:rsid w:val="00B26955"/>
    <w:rsid w:val="00B303F9"/>
    <w:rsid w:val="00B350DA"/>
    <w:rsid w:val="00B35187"/>
    <w:rsid w:val="00B35895"/>
    <w:rsid w:val="00B36D1F"/>
    <w:rsid w:val="00B37D4D"/>
    <w:rsid w:val="00B41471"/>
    <w:rsid w:val="00B41AFE"/>
    <w:rsid w:val="00B420EB"/>
    <w:rsid w:val="00B427A2"/>
    <w:rsid w:val="00B42BB1"/>
    <w:rsid w:val="00B439B4"/>
    <w:rsid w:val="00B45E6C"/>
    <w:rsid w:val="00B512A2"/>
    <w:rsid w:val="00B51AC4"/>
    <w:rsid w:val="00B51E24"/>
    <w:rsid w:val="00B52F54"/>
    <w:rsid w:val="00B54472"/>
    <w:rsid w:val="00B616EA"/>
    <w:rsid w:val="00B61D46"/>
    <w:rsid w:val="00B63CA0"/>
    <w:rsid w:val="00B6471C"/>
    <w:rsid w:val="00B73AE6"/>
    <w:rsid w:val="00B73B8B"/>
    <w:rsid w:val="00B75454"/>
    <w:rsid w:val="00B7550B"/>
    <w:rsid w:val="00B767E8"/>
    <w:rsid w:val="00B80A6E"/>
    <w:rsid w:val="00B80E26"/>
    <w:rsid w:val="00B81504"/>
    <w:rsid w:val="00B84F0E"/>
    <w:rsid w:val="00B86415"/>
    <w:rsid w:val="00B8672C"/>
    <w:rsid w:val="00B900F5"/>
    <w:rsid w:val="00B91939"/>
    <w:rsid w:val="00B92841"/>
    <w:rsid w:val="00B92F98"/>
    <w:rsid w:val="00B94ABE"/>
    <w:rsid w:val="00B966A8"/>
    <w:rsid w:val="00BA03BC"/>
    <w:rsid w:val="00BA0599"/>
    <w:rsid w:val="00BA0CD8"/>
    <w:rsid w:val="00BA10FB"/>
    <w:rsid w:val="00BA2D3E"/>
    <w:rsid w:val="00BA2F0F"/>
    <w:rsid w:val="00BA42BE"/>
    <w:rsid w:val="00BA4F55"/>
    <w:rsid w:val="00BB3398"/>
    <w:rsid w:val="00BB3690"/>
    <w:rsid w:val="00BB44C8"/>
    <w:rsid w:val="00BB55C3"/>
    <w:rsid w:val="00BC054B"/>
    <w:rsid w:val="00BC0A30"/>
    <w:rsid w:val="00BC1A1C"/>
    <w:rsid w:val="00BC4520"/>
    <w:rsid w:val="00BC465A"/>
    <w:rsid w:val="00BC4852"/>
    <w:rsid w:val="00BC6841"/>
    <w:rsid w:val="00BD79EE"/>
    <w:rsid w:val="00BD7E27"/>
    <w:rsid w:val="00BE0A86"/>
    <w:rsid w:val="00BE3A9D"/>
    <w:rsid w:val="00BE56C7"/>
    <w:rsid w:val="00BE5B41"/>
    <w:rsid w:val="00BE7884"/>
    <w:rsid w:val="00BE7FAB"/>
    <w:rsid w:val="00BF1000"/>
    <w:rsid w:val="00BF191B"/>
    <w:rsid w:val="00BF43ED"/>
    <w:rsid w:val="00BF50C5"/>
    <w:rsid w:val="00BF556C"/>
    <w:rsid w:val="00BF58D5"/>
    <w:rsid w:val="00BF604E"/>
    <w:rsid w:val="00BF7200"/>
    <w:rsid w:val="00C013B5"/>
    <w:rsid w:val="00C0266B"/>
    <w:rsid w:val="00C0457C"/>
    <w:rsid w:val="00C04F26"/>
    <w:rsid w:val="00C10A24"/>
    <w:rsid w:val="00C136DE"/>
    <w:rsid w:val="00C13E33"/>
    <w:rsid w:val="00C174D8"/>
    <w:rsid w:val="00C17786"/>
    <w:rsid w:val="00C20C0B"/>
    <w:rsid w:val="00C20EE7"/>
    <w:rsid w:val="00C2117B"/>
    <w:rsid w:val="00C22D2A"/>
    <w:rsid w:val="00C23145"/>
    <w:rsid w:val="00C23FAF"/>
    <w:rsid w:val="00C24BC0"/>
    <w:rsid w:val="00C24ECD"/>
    <w:rsid w:val="00C25E94"/>
    <w:rsid w:val="00C26646"/>
    <w:rsid w:val="00C26899"/>
    <w:rsid w:val="00C2745D"/>
    <w:rsid w:val="00C31F05"/>
    <w:rsid w:val="00C361E2"/>
    <w:rsid w:val="00C36312"/>
    <w:rsid w:val="00C3776C"/>
    <w:rsid w:val="00C37D39"/>
    <w:rsid w:val="00C40646"/>
    <w:rsid w:val="00C4246F"/>
    <w:rsid w:val="00C434B1"/>
    <w:rsid w:val="00C445F8"/>
    <w:rsid w:val="00C4498F"/>
    <w:rsid w:val="00C45D9D"/>
    <w:rsid w:val="00C47926"/>
    <w:rsid w:val="00C52A57"/>
    <w:rsid w:val="00C52E0C"/>
    <w:rsid w:val="00C52F19"/>
    <w:rsid w:val="00C53933"/>
    <w:rsid w:val="00C57D7F"/>
    <w:rsid w:val="00C605F9"/>
    <w:rsid w:val="00C61270"/>
    <w:rsid w:val="00C613AC"/>
    <w:rsid w:val="00C61968"/>
    <w:rsid w:val="00C6224B"/>
    <w:rsid w:val="00C63330"/>
    <w:rsid w:val="00C63B90"/>
    <w:rsid w:val="00C644DC"/>
    <w:rsid w:val="00C67DC2"/>
    <w:rsid w:val="00C71412"/>
    <w:rsid w:val="00C71F52"/>
    <w:rsid w:val="00C72590"/>
    <w:rsid w:val="00C72E18"/>
    <w:rsid w:val="00C74E41"/>
    <w:rsid w:val="00C7715C"/>
    <w:rsid w:val="00C810DF"/>
    <w:rsid w:val="00C85F42"/>
    <w:rsid w:val="00C90CAA"/>
    <w:rsid w:val="00C90DD9"/>
    <w:rsid w:val="00C923B8"/>
    <w:rsid w:val="00C95152"/>
    <w:rsid w:val="00C953A0"/>
    <w:rsid w:val="00CA0AF9"/>
    <w:rsid w:val="00CA1D6E"/>
    <w:rsid w:val="00CA24E5"/>
    <w:rsid w:val="00CA38DF"/>
    <w:rsid w:val="00CA575C"/>
    <w:rsid w:val="00CA64C5"/>
    <w:rsid w:val="00CA70CA"/>
    <w:rsid w:val="00CA76C4"/>
    <w:rsid w:val="00CB00CC"/>
    <w:rsid w:val="00CB19E7"/>
    <w:rsid w:val="00CB6E63"/>
    <w:rsid w:val="00CB7857"/>
    <w:rsid w:val="00CC0A63"/>
    <w:rsid w:val="00CC215B"/>
    <w:rsid w:val="00CC7E83"/>
    <w:rsid w:val="00CD040F"/>
    <w:rsid w:val="00CD10FA"/>
    <w:rsid w:val="00CD1456"/>
    <w:rsid w:val="00CD1DC6"/>
    <w:rsid w:val="00CD22C5"/>
    <w:rsid w:val="00CD36C9"/>
    <w:rsid w:val="00CD472B"/>
    <w:rsid w:val="00CD4743"/>
    <w:rsid w:val="00CD4AA3"/>
    <w:rsid w:val="00CE0061"/>
    <w:rsid w:val="00CE1633"/>
    <w:rsid w:val="00CE1DAC"/>
    <w:rsid w:val="00CE29FB"/>
    <w:rsid w:val="00CE2E06"/>
    <w:rsid w:val="00CE3926"/>
    <w:rsid w:val="00CE6CF7"/>
    <w:rsid w:val="00CF1D0B"/>
    <w:rsid w:val="00CF24D7"/>
    <w:rsid w:val="00CF3B92"/>
    <w:rsid w:val="00CF71EE"/>
    <w:rsid w:val="00CF7B3B"/>
    <w:rsid w:val="00D007DF"/>
    <w:rsid w:val="00D012A5"/>
    <w:rsid w:val="00D034FA"/>
    <w:rsid w:val="00D0707A"/>
    <w:rsid w:val="00D1014A"/>
    <w:rsid w:val="00D1110E"/>
    <w:rsid w:val="00D113E0"/>
    <w:rsid w:val="00D121DC"/>
    <w:rsid w:val="00D14BCE"/>
    <w:rsid w:val="00D15638"/>
    <w:rsid w:val="00D2146A"/>
    <w:rsid w:val="00D24968"/>
    <w:rsid w:val="00D269C5"/>
    <w:rsid w:val="00D30C94"/>
    <w:rsid w:val="00D311C9"/>
    <w:rsid w:val="00D31639"/>
    <w:rsid w:val="00D326CC"/>
    <w:rsid w:val="00D3506B"/>
    <w:rsid w:val="00D35A73"/>
    <w:rsid w:val="00D36BF6"/>
    <w:rsid w:val="00D4016D"/>
    <w:rsid w:val="00D411FC"/>
    <w:rsid w:val="00D4178B"/>
    <w:rsid w:val="00D422BC"/>
    <w:rsid w:val="00D427EB"/>
    <w:rsid w:val="00D43275"/>
    <w:rsid w:val="00D43727"/>
    <w:rsid w:val="00D4532E"/>
    <w:rsid w:val="00D46D25"/>
    <w:rsid w:val="00D50412"/>
    <w:rsid w:val="00D5092D"/>
    <w:rsid w:val="00D51D67"/>
    <w:rsid w:val="00D538CE"/>
    <w:rsid w:val="00D553A3"/>
    <w:rsid w:val="00D569D3"/>
    <w:rsid w:val="00D60678"/>
    <w:rsid w:val="00D624FF"/>
    <w:rsid w:val="00D6374E"/>
    <w:rsid w:val="00D7100D"/>
    <w:rsid w:val="00D7100E"/>
    <w:rsid w:val="00D715FA"/>
    <w:rsid w:val="00D737A8"/>
    <w:rsid w:val="00D775CB"/>
    <w:rsid w:val="00D77FF4"/>
    <w:rsid w:val="00D816B4"/>
    <w:rsid w:val="00D819C3"/>
    <w:rsid w:val="00D81C36"/>
    <w:rsid w:val="00D846D2"/>
    <w:rsid w:val="00D8560A"/>
    <w:rsid w:val="00D8638A"/>
    <w:rsid w:val="00D869DD"/>
    <w:rsid w:val="00D870EE"/>
    <w:rsid w:val="00D900B3"/>
    <w:rsid w:val="00D90590"/>
    <w:rsid w:val="00D9196D"/>
    <w:rsid w:val="00D92586"/>
    <w:rsid w:val="00D935C8"/>
    <w:rsid w:val="00D93A8E"/>
    <w:rsid w:val="00D94638"/>
    <w:rsid w:val="00D954AE"/>
    <w:rsid w:val="00D97A4D"/>
    <w:rsid w:val="00DA03AA"/>
    <w:rsid w:val="00DA3F27"/>
    <w:rsid w:val="00DA5A69"/>
    <w:rsid w:val="00DA5F3D"/>
    <w:rsid w:val="00DA677C"/>
    <w:rsid w:val="00DA679E"/>
    <w:rsid w:val="00DA6BAA"/>
    <w:rsid w:val="00DA6CB9"/>
    <w:rsid w:val="00DA6E4A"/>
    <w:rsid w:val="00DB2329"/>
    <w:rsid w:val="00DB2CBE"/>
    <w:rsid w:val="00DB7B1F"/>
    <w:rsid w:val="00DC0225"/>
    <w:rsid w:val="00DC20CE"/>
    <w:rsid w:val="00DC2132"/>
    <w:rsid w:val="00DC3281"/>
    <w:rsid w:val="00DC3598"/>
    <w:rsid w:val="00DC7408"/>
    <w:rsid w:val="00DC7AC1"/>
    <w:rsid w:val="00DD5F8E"/>
    <w:rsid w:val="00DE1236"/>
    <w:rsid w:val="00DE2C60"/>
    <w:rsid w:val="00DE2DF7"/>
    <w:rsid w:val="00DF59CD"/>
    <w:rsid w:val="00DF7932"/>
    <w:rsid w:val="00E00E10"/>
    <w:rsid w:val="00E0259F"/>
    <w:rsid w:val="00E035BA"/>
    <w:rsid w:val="00E0438F"/>
    <w:rsid w:val="00E04A94"/>
    <w:rsid w:val="00E07EDD"/>
    <w:rsid w:val="00E12247"/>
    <w:rsid w:val="00E135DE"/>
    <w:rsid w:val="00E142F3"/>
    <w:rsid w:val="00E14307"/>
    <w:rsid w:val="00E14485"/>
    <w:rsid w:val="00E15D39"/>
    <w:rsid w:val="00E15F47"/>
    <w:rsid w:val="00E17E6C"/>
    <w:rsid w:val="00E205A5"/>
    <w:rsid w:val="00E20945"/>
    <w:rsid w:val="00E22B69"/>
    <w:rsid w:val="00E22C94"/>
    <w:rsid w:val="00E248E5"/>
    <w:rsid w:val="00E2629B"/>
    <w:rsid w:val="00E267F5"/>
    <w:rsid w:val="00E3098C"/>
    <w:rsid w:val="00E30D7E"/>
    <w:rsid w:val="00E31F80"/>
    <w:rsid w:val="00E327E9"/>
    <w:rsid w:val="00E32935"/>
    <w:rsid w:val="00E32A5C"/>
    <w:rsid w:val="00E36403"/>
    <w:rsid w:val="00E365C9"/>
    <w:rsid w:val="00E36976"/>
    <w:rsid w:val="00E36C03"/>
    <w:rsid w:val="00E40B6D"/>
    <w:rsid w:val="00E424BE"/>
    <w:rsid w:val="00E42C9F"/>
    <w:rsid w:val="00E42F20"/>
    <w:rsid w:val="00E4650F"/>
    <w:rsid w:val="00E46783"/>
    <w:rsid w:val="00E46897"/>
    <w:rsid w:val="00E50AF7"/>
    <w:rsid w:val="00E5175B"/>
    <w:rsid w:val="00E5190E"/>
    <w:rsid w:val="00E549CE"/>
    <w:rsid w:val="00E54BAE"/>
    <w:rsid w:val="00E575E5"/>
    <w:rsid w:val="00E60810"/>
    <w:rsid w:val="00E614B2"/>
    <w:rsid w:val="00E6322C"/>
    <w:rsid w:val="00E63412"/>
    <w:rsid w:val="00E63CEF"/>
    <w:rsid w:val="00E648F4"/>
    <w:rsid w:val="00E669FE"/>
    <w:rsid w:val="00E67E55"/>
    <w:rsid w:val="00E72220"/>
    <w:rsid w:val="00E72959"/>
    <w:rsid w:val="00E777CD"/>
    <w:rsid w:val="00E828BC"/>
    <w:rsid w:val="00E83976"/>
    <w:rsid w:val="00E8454E"/>
    <w:rsid w:val="00E85078"/>
    <w:rsid w:val="00E8631D"/>
    <w:rsid w:val="00E878E8"/>
    <w:rsid w:val="00E900CA"/>
    <w:rsid w:val="00E90E78"/>
    <w:rsid w:val="00E91EA7"/>
    <w:rsid w:val="00E92FD1"/>
    <w:rsid w:val="00E935D9"/>
    <w:rsid w:val="00E94A4E"/>
    <w:rsid w:val="00E96E12"/>
    <w:rsid w:val="00EA3FAD"/>
    <w:rsid w:val="00EA429F"/>
    <w:rsid w:val="00EA5A50"/>
    <w:rsid w:val="00EB0074"/>
    <w:rsid w:val="00EB2082"/>
    <w:rsid w:val="00EB514A"/>
    <w:rsid w:val="00EB57DF"/>
    <w:rsid w:val="00EC00C0"/>
    <w:rsid w:val="00EC0872"/>
    <w:rsid w:val="00EC0B9E"/>
    <w:rsid w:val="00EC11B6"/>
    <w:rsid w:val="00EC1B8B"/>
    <w:rsid w:val="00EC1D86"/>
    <w:rsid w:val="00EC7186"/>
    <w:rsid w:val="00EC78AC"/>
    <w:rsid w:val="00ED2925"/>
    <w:rsid w:val="00ED3B24"/>
    <w:rsid w:val="00ED3FAB"/>
    <w:rsid w:val="00ED4457"/>
    <w:rsid w:val="00ED529A"/>
    <w:rsid w:val="00ED6228"/>
    <w:rsid w:val="00ED7895"/>
    <w:rsid w:val="00EE1066"/>
    <w:rsid w:val="00EE1679"/>
    <w:rsid w:val="00EE6AAE"/>
    <w:rsid w:val="00EF0F57"/>
    <w:rsid w:val="00EF265B"/>
    <w:rsid w:val="00EF3A1D"/>
    <w:rsid w:val="00EF4592"/>
    <w:rsid w:val="00EF46FA"/>
    <w:rsid w:val="00EF48BB"/>
    <w:rsid w:val="00EF4ACF"/>
    <w:rsid w:val="00EF4B28"/>
    <w:rsid w:val="00F022FB"/>
    <w:rsid w:val="00F03197"/>
    <w:rsid w:val="00F045E4"/>
    <w:rsid w:val="00F064D3"/>
    <w:rsid w:val="00F06723"/>
    <w:rsid w:val="00F0763E"/>
    <w:rsid w:val="00F1187B"/>
    <w:rsid w:val="00F1496C"/>
    <w:rsid w:val="00F15819"/>
    <w:rsid w:val="00F20575"/>
    <w:rsid w:val="00F21DC6"/>
    <w:rsid w:val="00F2326A"/>
    <w:rsid w:val="00F2421F"/>
    <w:rsid w:val="00F24E18"/>
    <w:rsid w:val="00F24F55"/>
    <w:rsid w:val="00F33680"/>
    <w:rsid w:val="00F35C7B"/>
    <w:rsid w:val="00F36224"/>
    <w:rsid w:val="00F374A5"/>
    <w:rsid w:val="00F37C11"/>
    <w:rsid w:val="00F40831"/>
    <w:rsid w:val="00F40860"/>
    <w:rsid w:val="00F41308"/>
    <w:rsid w:val="00F429F4"/>
    <w:rsid w:val="00F43912"/>
    <w:rsid w:val="00F46EC0"/>
    <w:rsid w:val="00F47410"/>
    <w:rsid w:val="00F51115"/>
    <w:rsid w:val="00F519E2"/>
    <w:rsid w:val="00F52DB8"/>
    <w:rsid w:val="00F5578C"/>
    <w:rsid w:val="00F566DF"/>
    <w:rsid w:val="00F57D6B"/>
    <w:rsid w:val="00F606C1"/>
    <w:rsid w:val="00F63053"/>
    <w:rsid w:val="00F64181"/>
    <w:rsid w:val="00F64F55"/>
    <w:rsid w:val="00F663A3"/>
    <w:rsid w:val="00F664E8"/>
    <w:rsid w:val="00F6734F"/>
    <w:rsid w:val="00F6777C"/>
    <w:rsid w:val="00F708D7"/>
    <w:rsid w:val="00F75950"/>
    <w:rsid w:val="00F80BA1"/>
    <w:rsid w:val="00F81D8D"/>
    <w:rsid w:val="00F82FF7"/>
    <w:rsid w:val="00F8425C"/>
    <w:rsid w:val="00F8503A"/>
    <w:rsid w:val="00F90008"/>
    <w:rsid w:val="00F917C2"/>
    <w:rsid w:val="00F91F7A"/>
    <w:rsid w:val="00F928E9"/>
    <w:rsid w:val="00F92BC7"/>
    <w:rsid w:val="00F92D24"/>
    <w:rsid w:val="00F9691F"/>
    <w:rsid w:val="00F9735B"/>
    <w:rsid w:val="00FA069B"/>
    <w:rsid w:val="00FA5D18"/>
    <w:rsid w:val="00FA72BE"/>
    <w:rsid w:val="00FA78DF"/>
    <w:rsid w:val="00FB5758"/>
    <w:rsid w:val="00FB6465"/>
    <w:rsid w:val="00FC38C4"/>
    <w:rsid w:val="00FC39ED"/>
    <w:rsid w:val="00FC6862"/>
    <w:rsid w:val="00FC6A42"/>
    <w:rsid w:val="00FD333C"/>
    <w:rsid w:val="00FD3C55"/>
    <w:rsid w:val="00FD4616"/>
    <w:rsid w:val="00FD4932"/>
    <w:rsid w:val="00FD4AA6"/>
    <w:rsid w:val="00FD76FA"/>
    <w:rsid w:val="00FE017D"/>
    <w:rsid w:val="00FE0A55"/>
    <w:rsid w:val="00FE1842"/>
    <w:rsid w:val="00FE1E80"/>
    <w:rsid w:val="00FF186C"/>
    <w:rsid w:val="00FF23A1"/>
    <w:rsid w:val="00FF258C"/>
    <w:rsid w:val="00FF3D99"/>
    <w:rsid w:val="00FF5432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34160D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E6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sz w:val="48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Textoennegrita">
    <w:name w:val="Strong"/>
    <w:uiPriority w:val="22"/>
    <w:qFormat/>
    <w:rsid w:val="006049F0"/>
    <w:rPr>
      <w:b/>
      <w:bCs/>
    </w:rPr>
  </w:style>
  <w:style w:type="paragraph" w:styleId="NormalWeb">
    <w:name w:val="Normal (Web)"/>
    <w:basedOn w:val="Normal"/>
    <w:uiPriority w:val="99"/>
    <w:rsid w:val="006049F0"/>
    <w:pPr>
      <w:spacing w:before="100" w:after="100"/>
    </w:pPr>
    <w:rPr>
      <w:szCs w:val="24"/>
    </w:rPr>
  </w:style>
  <w:style w:type="paragraph" w:styleId="Textodeglobo">
    <w:name w:val="Balloon Text"/>
    <w:basedOn w:val="Normal"/>
    <w:semiHidden/>
    <w:rsid w:val="006049F0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0A1E84"/>
    <w:pPr>
      <w:jc w:val="both"/>
    </w:pPr>
    <w:rPr>
      <w:rFonts w:ascii="Arial" w:hAnsi="Arial"/>
    </w:rPr>
  </w:style>
  <w:style w:type="paragraph" w:styleId="Textoindependiente2">
    <w:name w:val="Body Text 2"/>
    <w:basedOn w:val="Normal"/>
    <w:rsid w:val="000A1E84"/>
    <w:pPr>
      <w:jc w:val="both"/>
    </w:pPr>
    <w:rPr>
      <w:rFonts w:ascii="Arial" w:hAnsi="Arial"/>
      <w:b/>
    </w:rPr>
  </w:style>
  <w:style w:type="paragraph" w:styleId="Lista2">
    <w:name w:val="List 2"/>
    <w:basedOn w:val="Normal"/>
    <w:rsid w:val="00A24DD7"/>
    <w:pPr>
      <w:ind w:left="566" w:hanging="283"/>
    </w:pPr>
  </w:style>
  <w:style w:type="paragraph" w:styleId="Lista3">
    <w:name w:val="List 3"/>
    <w:basedOn w:val="Normal"/>
    <w:rsid w:val="00A24DD7"/>
    <w:pPr>
      <w:ind w:left="849" w:hanging="283"/>
    </w:pPr>
  </w:style>
  <w:style w:type="paragraph" w:styleId="Listaconvietas2">
    <w:name w:val="List Bullet 2"/>
    <w:basedOn w:val="Normal"/>
    <w:autoRedefine/>
    <w:rsid w:val="00A24DD7"/>
    <w:pPr>
      <w:numPr>
        <w:numId w:val="1"/>
      </w:numPr>
    </w:pPr>
  </w:style>
  <w:style w:type="paragraph" w:styleId="Sangradetextonormal">
    <w:name w:val="Body Text Indent"/>
    <w:basedOn w:val="Normal"/>
    <w:rsid w:val="00A24DD7"/>
    <w:pPr>
      <w:spacing w:after="120"/>
      <w:ind w:left="283"/>
    </w:pPr>
  </w:style>
  <w:style w:type="table" w:styleId="Tablaconcuadrcula">
    <w:name w:val="Table Grid"/>
    <w:basedOn w:val="Tablanormal"/>
    <w:uiPriority w:val="39"/>
    <w:rsid w:val="001B7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220FF7"/>
  </w:style>
  <w:style w:type="paragraph" w:styleId="Prrafodelista">
    <w:name w:val="List Paragraph"/>
    <w:basedOn w:val="Normal"/>
    <w:uiPriority w:val="34"/>
    <w:qFormat/>
    <w:rsid w:val="00803832"/>
    <w:pPr>
      <w:ind w:left="720"/>
      <w:contextualSpacing/>
    </w:pPr>
    <w:rPr>
      <w:rFonts w:ascii="Calibri" w:eastAsia="Calibri" w:hAnsi="Calibri"/>
    </w:rPr>
  </w:style>
  <w:style w:type="paragraph" w:customStyle="1" w:styleId="Default">
    <w:name w:val="Default"/>
    <w:rsid w:val="00C363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6932DF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unhideWhenUsed/>
    <w:rsid w:val="006932DF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932DF"/>
    <w:rPr>
      <w:rFonts w:ascii="Calibri" w:eastAsiaTheme="minorHAnsi" w:hAnsi="Calibri" w:cstheme="minorBidi"/>
      <w:sz w:val="22"/>
      <w:szCs w:val="21"/>
      <w:lang w:eastAsia="en-US"/>
    </w:rPr>
  </w:style>
  <w:style w:type="character" w:styleId="nfasis">
    <w:name w:val="Emphasis"/>
    <w:basedOn w:val="Fuentedeprrafopredeter"/>
    <w:uiPriority w:val="20"/>
    <w:qFormat/>
    <w:rsid w:val="00E8454E"/>
    <w:rPr>
      <w:i/>
      <w:iCs/>
    </w:rPr>
  </w:style>
  <w:style w:type="character" w:styleId="Refdecomentario">
    <w:name w:val="annotation reference"/>
    <w:basedOn w:val="Fuentedeprrafopredeter"/>
    <w:uiPriority w:val="99"/>
    <w:rsid w:val="00F64F5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F64F5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64F55"/>
    <w:rPr>
      <w:rFonts w:asciiTheme="minorHAnsi" w:eastAsiaTheme="minorHAnsi" w:hAnsiTheme="minorHAnsi" w:cstheme="minorBid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64F5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F64F55"/>
    <w:rPr>
      <w:rFonts w:asciiTheme="minorHAnsi" w:eastAsiaTheme="minorHAnsi" w:hAnsiTheme="minorHAnsi" w:cstheme="minorBidi"/>
      <w:b/>
      <w:bCs/>
      <w:lang w:eastAsia="en-US"/>
    </w:rPr>
  </w:style>
  <w:style w:type="paragraph" w:styleId="Textonotapie">
    <w:name w:val="footnote text"/>
    <w:basedOn w:val="Normal"/>
    <w:link w:val="TextonotapieCar"/>
    <w:rsid w:val="007B583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7B5834"/>
    <w:rPr>
      <w:rFonts w:asciiTheme="minorHAnsi" w:eastAsiaTheme="minorHAnsi" w:hAnsiTheme="minorHAnsi" w:cstheme="minorBidi"/>
      <w:lang w:eastAsia="en-US"/>
    </w:rPr>
  </w:style>
  <w:style w:type="character" w:styleId="Refdenotaalpie">
    <w:name w:val="footnote reference"/>
    <w:basedOn w:val="Fuentedeprrafopredeter"/>
    <w:rsid w:val="007B5834"/>
    <w:rPr>
      <w:vertAlign w:val="superscript"/>
    </w:rPr>
  </w:style>
  <w:style w:type="paragraph" w:customStyle="1" w:styleId="Prrafodelista1">
    <w:name w:val="Párrafo de lista1"/>
    <w:basedOn w:val="Normal"/>
    <w:rsid w:val="00D012A5"/>
    <w:pPr>
      <w:suppressAutoHyphens/>
      <w:spacing w:after="80" w:line="240" w:lineRule="auto"/>
      <w:ind w:left="720"/>
      <w:contextualSpacing/>
    </w:pPr>
    <w:rPr>
      <w:rFonts w:ascii="Cambria" w:eastAsia="MS Mincho" w:hAnsi="Cambria" w:cs="Times New Roman"/>
      <w:kern w:val="1"/>
      <w:sz w:val="24"/>
      <w:szCs w:val="24"/>
      <w:lang w:eastAsia="es-ES"/>
    </w:rPr>
  </w:style>
  <w:style w:type="paragraph" w:customStyle="1" w:styleId="p">
    <w:name w:val="p"/>
    <w:basedOn w:val="Normal"/>
    <w:rsid w:val="00916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kwd-text">
    <w:name w:val="kwd-text"/>
    <w:basedOn w:val="Fuentedeprrafopredeter"/>
    <w:rsid w:val="00916B78"/>
  </w:style>
  <w:style w:type="character" w:styleId="Hipervnculovisitado">
    <w:name w:val="FollowedHyperlink"/>
    <w:basedOn w:val="Fuentedeprrafopredeter"/>
    <w:semiHidden/>
    <w:unhideWhenUsed/>
    <w:rsid w:val="00104A8D"/>
    <w:rPr>
      <w:color w:val="800080" w:themeColor="followedHyperlink"/>
      <w:u w:val="single"/>
    </w:rPr>
  </w:style>
  <w:style w:type="character" w:customStyle="1" w:styleId="tlid-translation">
    <w:name w:val="tlid-translation"/>
    <w:basedOn w:val="Fuentedeprrafopredeter"/>
    <w:rsid w:val="007F3629"/>
  </w:style>
  <w:style w:type="character" w:customStyle="1" w:styleId="st">
    <w:name w:val="st"/>
    <w:basedOn w:val="Fuentedeprrafopredeter"/>
    <w:rsid w:val="006C33C1"/>
  </w:style>
  <w:style w:type="paragraph" w:styleId="Revisin">
    <w:name w:val="Revision"/>
    <w:hidden/>
    <w:uiPriority w:val="99"/>
    <w:semiHidden/>
    <w:rsid w:val="00176BB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E0259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bs-docsum-authors">
    <w:name w:val="labs-docsum-authors"/>
    <w:basedOn w:val="Fuentedeprrafopredeter"/>
    <w:rsid w:val="00E0259F"/>
  </w:style>
  <w:style w:type="character" w:customStyle="1" w:styleId="labs-docsum-journal-citation">
    <w:name w:val="labs-docsum-journal-citation"/>
    <w:basedOn w:val="Fuentedeprrafopredeter"/>
    <w:rsid w:val="00E0259F"/>
  </w:style>
  <w:style w:type="character" w:styleId="Nmerodelnea">
    <w:name w:val="line number"/>
    <w:basedOn w:val="Fuentedeprrafopredeter"/>
    <w:semiHidden/>
    <w:unhideWhenUsed/>
    <w:rsid w:val="004348B9"/>
  </w:style>
  <w:style w:type="character" w:customStyle="1" w:styleId="citation-part">
    <w:name w:val="citation-part"/>
    <w:basedOn w:val="Fuentedeprrafopredeter"/>
    <w:rsid w:val="00731B92"/>
  </w:style>
  <w:style w:type="character" w:customStyle="1" w:styleId="docsum-pmid">
    <w:name w:val="docsum-pmid"/>
    <w:basedOn w:val="Fuentedeprrafopredeter"/>
    <w:rsid w:val="00731B92"/>
  </w:style>
  <w:style w:type="paragraph" w:customStyle="1" w:styleId="BASICO">
    <w:name w:val="BASICO"/>
    <w:basedOn w:val="Normal"/>
    <w:link w:val="BASICOCar"/>
    <w:qFormat/>
    <w:rsid w:val="000848F5"/>
    <w:pPr>
      <w:spacing w:before="120" w:after="0" w:line="312" w:lineRule="auto"/>
      <w:jc w:val="both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BASICOCar">
    <w:name w:val="BASICO Car"/>
    <w:link w:val="BASICO"/>
    <w:rsid w:val="000848F5"/>
    <w:rPr>
      <w:rFonts w:ascii="Calibri" w:hAnsi="Calibri"/>
      <w:lang w:val="x-none" w:eastAsia="x-none"/>
    </w:rPr>
  </w:style>
  <w:style w:type="table" w:customStyle="1" w:styleId="Tabladecuadrcula7concolores-nfasis11">
    <w:name w:val="Tabla de cuadrícula 7 con colores - Énfasis 11"/>
    <w:basedOn w:val="Tablanormal"/>
    <w:uiPriority w:val="52"/>
    <w:rsid w:val="002525F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E6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sz w:val="48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Textoennegrita">
    <w:name w:val="Strong"/>
    <w:uiPriority w:val="22"/>
    <w:qFormat/>
    <w:rsid w:val="006049F0"/>
    <w:rPr>
      <w:b/>
      <w:bCs/>
    </w:rPr>
  </w:style>
  <w:style w:type="paragraph" w:styleId="NormalWeb">
    <w:name w:val="Normal (Web)"/>
    <w:basedOn w:val="Normal"/>
    <w:uiPriority w:val="99"/>
    <w:rsid w:val="006049F0"/>
    <w:pPr>
      <w:spacing w:before="100" w:after="100"/>
    </w:pPr>
    <w:rPr>
      <w:szCs w:val="24"/>
    </w:rPr>
  </w:style>
  <w:style w:type="paragraph" w:styleId="Textodeglobo">
    <w:name w:val="Balloon Text"/>
    <w:basedOn w:val="Normal"/>
    <w:semiHidden/>
    <w:rsid w:val="006049F0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0A1E84"/>
    <w:pPr>
      <w:jc w:val="both"/>
    </w:pPr>
    <w:rPr>
      <w:rFonts w:ascii="Arial" w:hAnsi="Arial"/>
    </w:rPr>
  </w:style>
  <w:style w:type="paragraph" w:styleId="Textoindependiente2">
    <w:name w:val="Body Text 2"/>
    <w:basedOn w:val="Normal"/>
    <w:rsid w:val="000A1E84"/>
    <w:pPr>
      <w:jc w:val="both"/>
    </w:pPr>
    <w:rPr>
      <w:rFonts w:ascii="Arial" w:hAnsi="Arial"/>
      <w:b/>
    </w:rPr>
  </w:style>
  <w:style w:type="paragraph" w:styleId="Lista2">
    <w:name w:val="List 2"/>
    <w:basedOn w:val="Normal"/>
    <w:rsid w:val="00A24DD7"/>
    <w:pPr>
      <w:ind w:left="566" w:hanging="283"/>
    </w:pPr>
  </w:style>
  <w:style w:type="paragraph" w:styleId="Lista3">
    <w:name w:val="List 3"/>
    <w:basedOn w:val="Normal"/>
    <w:rsid w:val="00A24DD7"/>
    <w:pPr>
      <w:ind w:left="849" w:hanging="283"/>
    </w:pPr>
  </w:style>
  <w:style w:type="paragraph" w:styleId="Listaconvietas2">
    <w:name w:val="List Bullet 2"/>
    <w:basedOn w:val="Normal"/>
    <w:autoRedefine/>
    <w:rsid w:val="00A24DD7"/>
    <w:pPr>
      <w:numPr>
        <w:numId w:val="1"/>
      </w:numPr>
    </w:pPr>
  </w:style>
  <w:style w:type="paragraph" w:styleId="Sangradetextonormal">
    <w:name w:val="Body Text Indent"/>
    <w:basedOn w:val="Normal"/>
    <w:rsid w:val="00A24DD7"/>
    <w:pPr>
      <w:spacing w:after="120"/>
      <w:ind w:left="283"/>
    </w:pPr>
  </w:style>
  <w:style w:type="table" w:styleId="Tablaconcuadrcula">
    <w:name w:val="Table Grid"/>
    <w:basedOn w:val="Tablanormal"/>
    <w:uiPriority w:val="39"/>
    <w:rsid w:val="001B7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220FF7"/>
  </w:style>
  <w:style w:type="paragraph" w:styleId="Prrafodelista">
    <w:name w:val="List Paragraph"/>
    <w:basedOn w:val="Normal"/>
    <w:uiPriority w:val="34"/>
    <w:qFormat/>
    <w:rsid w:val="00803832"/>
    <w:pPr>
      <w:ind w:left="720"/>
      <w:contextualSpacing/>
    </w:pPr>
    <w:rPr>
      <w:rFonts w:ascii="Calibri" w:eastAsia="Calibri" w:hAnsi="Calibri"/>
    </w:rPr>
  </w:style>
  <w:style w:type="paragraph" w:customStyle="1" w:styleId="Default">
    <w:name w:val="Default"/>
    <w:rsid w:val="00C363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6932DF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unhideWhenUsed/>
    <w:rsid w:val="006932DF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932DF"/>
    <w:rPr>
      <w:rFonts w:ascii="Calibri" w:eastAsiaTheme="minorHAnsi" w:hAnsi="Calibri" w:cstheme="minorBidi"/>
      <w:sz w:val="22"/>
      <w:szCs w:val="21"/>
      <w:lang w:eastAsia="en-US"/>
    </w:rPr>
  </w:style>
  <w:style w:type="character" w:styleId="nfasis">
    <w:name w:val="Emphasis"/>
    <w:basedOn w:val="Fuentedeprrafopredeter"/>
    <w:uiPriority w:val="20"/>
    <w:qFormat/>
    <w:rsid w:val="00E8454E"/>
    <w:rPr>
      <w:i/>
      <w:iCs/>
    </w:rPr>
  </w:style>
  <w:style w:type="character" w:styleId="Refdecomentario">
    <w:name w:val="annotation reference"/>
    <w:basedOn w:val="Fuentedeprrafopredeter"/>
    <w:uiPriority w:val="99"/>
    <w:rsid w:val="00F64F5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F64F5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64F55"/>
    <w:rPr>
      <w:rFonts w:asciiTheme="minorHAnsi" w:eastAsiaTheme="minorHAnsi" w:hAnsiTheme="minorHAnsi" w:cstheme="minorBid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64F5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F64F55"/>
    <w:rPr>
      <w:rFonts w:asciiTheme="minorHAnsi" w:eastAsiaTheme="minorHAnsi" w:hAnsiTheme="minorHAnsi" w:cstheme="minorBidi"/>
      <w:b/>
      <w:bCs/>
      <w:lang w:eastAsia="en-US"/>
    </w:rPr>
  </w:style>
  <w:style w:type="paragraph" w:styleId="Textonotapie">
    <w:name w:val="footnote text"/>
    <w:basedOn w:val="Normal"/>
    <w:link w:val="TextonotapieCar"/>
    <w:rsid w:val="007B583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7B5834"/>
    <w:rPr>
      <w:rFonts w:asciiTheme="minorHAnsi" w:eastAsiaTheme="minorHAnsi" w:hAnsiTheme="minorHAnsi" w:cstheme="minorBidi"/>
      <w:lang w:eastAsia="en-US"/>
    </w:rPr>
  </w:style>
  <w:style w:type="character" w:styleId="Refdenotaalpie">
    <w:name w:val="footnote reference"/>
    <w:basedOn w:val="Fuentedeprrafopredeter"/>
    <w:rsid w:val="007B5834"/>
    <w:rPr>
      <w:vertAlign w:val="superscript"/>
    </w:rPr>
  </w:style>
  <w:style w:type="paragraph" w:customStyle="1" w:styleId="Prrafodelista1">
    <w:name w:val="Párrafo de lista1"/>
    <w:basedOn w:val="Normal"/>
    <w:rsid w:val="00D012A5"/>
    <w:pPr>
      <w:suppressAutoHyphens/>
      <w:spacing w:after="80" w:line="240" w:lineRule="auto"/>
      <w:ind w:left="720"/>
      <w:contextualSpacing/>
    </w:pPr>
    <w:rPr>
      <w:rFonts w:ascii="Cambria" w:eastAsia="MS Mincho" w:hAnsi="Cambria" w:cs="Times New Roman"/>
      <w:kern w:val="1"/>
      <w:sz w:val="24"/>
      <w:szCs w:val="24"/>
      <w:lang w:eastAsia="es-ES"/>
    </w:rPr>
  </w:style>
  <w:style w:type="paragraph" w:customStyle="1" w:styleId="p">
    <w:name w:val="p"/>
    <w:basedOn w:val="Normal"/>
    <w:rsid w:val="00916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kwd-text">
    <w:name w:val="kwd-text"/>
    <w:basedOn w:val="Fuentedeprrafopredeter"/>
    <w:rsid w:val="00916B78"/>
  </w:style>
  <w:style w:type="character" w:styleId="Hipervnculovisitado">
    <w:name w:val="FollowedHyperlink"/>
    <w:basedOn w:val="Fuentedeprrafopredeter"/>
    <w:semiHidden/>
    <w:unhideWhenUsed/>
    <w:rsid w:val="00104A8D"/>
    <w:rPr>
      <w:color w:val="800080" w:themeColor="followedHyperlink"/>
      <w:u w:val="single"/>
    </w:rPr>
  </w:style>
  <w:style w:type="character" w:customStyle="1" w:styleId="tlid-translation">
    <w:name w:val="tlid-translation"/>
    <w:basedOn w:val="Fuentedeprrafopredeter"/>
    <w:rsid w:val="007F3629"/>
  </w:style>
  <w:style w:type="character" w:customStyle="1" w:styleId="st">
    <w:name w:val="st"/>
    <w:basedOn w:val="Fuentedeprrafopredeter"/>
    <w:rsid w:val="006C33C1"/>
  </w:style>
  <w:style w:type="paragraph" w:styleId="Revisin">
    <w:name w:val="Revision"/>
    <w:hidden/>
    <w:uiPriority w:val="99"/>
    <w:semiHidden/>
    <w:rsid w:val="00176BB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E0259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bs-docsum-authors">
    <w:name w:val="labs-docsum-authors"/>
    <w:basedOn w:val="Fuentedeprrafopredeter"/>
    <w:rsid w:val="00E0259F"/>
  </w:style>
  <w:style w:type="character" w:customStyle="1" w:styleId="labs-docsum-journal-citation">
    <w:name w:val="labs-docsum-journal-citation"/>
    <w:basedOn w:val="Fuentedeprrafopredeter"/>
    <w:rsid w:val="00E0259F"/>
  </w:style>
  <w:style w:type="character" w:styleId="Nmerodelnea">
    <w:name w:val="line number"/>
    <w:basedOn w:val="Fuentedeprrafopredeter"/>
    <w:semiHidden/>
    <w:unhideWhenUsed/>
    <w:rsid w:val="004348B9"/>
  </w:style>
  <w:style w:type="character" w:customStyle="1" w:styleId="citation-part">
    <w:name w:val="citation-part"/>
    <w:basedOn w:val="Fuentedeprrafopredeter"/>
    <w:rsid w:val="00731B92"/>
  </w:style>
  <w:style w:type="character" w:customStyle="1" w:styleId="docsum-pmid">
    <w:name w:val="docsum-pmid"/>
    <w:basedOn w:val="Fuentedeprrafopredeter"/>
    <w:rsid w:val="00731B92"/>
  </w:style>
  <w:style w:type="paragraph" w:customStyle="1" w:styleId="BASICO">
    <w:name w:val="BASICO"/>
    <w:basedOn w:val="Normal"/>
    <w:link w:val="BASICOCar"/>
    <w:qFormat/>
    <w:rsid w:val="000848F5"/>
    <w:pPr>
      <w:spacing w:before="120" w:after="0" w:line="312" w:lineRule="auto"/>
      <w:jc w:val="both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BASICOCar">
    <w:name w:val="BASICO Car"/>
    <w:link w:val="BASICO"/>
    <w:rsid w:val="000848F5"/>
    <w:rPr>
      <w:rFonts w:ascii="Calibri" w:hAnsi="Calibri"/>
      <w:lang w:val="x-none" w:eastAsia="x-none"/>
    </w:rPr>
  </w:style>
  <w:style w:type="table" w:customStyle="1" w:styleId="Tabladecuadrcula7concolores-nfasis11">
    <w:name w:val="Tabla de cuadrícula 7 con colores - Énfasis 11"/>
    <w:basedOn w:val="Tablanormal"/>
    <w:uiPriority w:val="52"/>
    <w:rsid w:val="002525F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0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7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3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isciii.es/QueHacemos/Servicios/VigilanciaSaludPublicaRENAVE/EnfermedadesTransmisibles/Documents/PROTOCOLOS/Protocolo%20de%20Vigilancia%20de%20Fiebre%20del%20Nilo%20Occidental.pdf" TargetMode="External"/><Relationship Id="rId18" Type="http://schemas.openxmlformats.org/officeDocument/2006/relationships/hyperlink" Target="http://www.ont.es/infesp/Paginas/DocumentosdeConsenso.aspx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transfusionguidelines.org/" TargetMode="External"/><Relationship Id="rId7" Type="http://schemas.microsoft.com/office/2007/relationships/stylesWithEffects" Target="stylesWithEffects.xml"/><Relationship Id="rId12" Type="http://schemas.openxmlformats.org/officeDocument/2006/relationships/hyperlink" Target="https://www.mscbs.gob.es/profesionales/saludPublica/ccayes/analisisituacion/doc/Evaluacion_de_riesgo-VNO-2017.pdf" TargetMode="External"/><Relationship Id="rId17" Type="http://schemas.openxmlformats.org/officeDocument/2006/relationships/hyperlink" Target="https://www.who.int/es/news-room/fact-sheets/detail/west-nile-virus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cdc.europa.eu/en/news-events/epidemiological-update-west-nile-virus-transmission-season-europe-2020" TargetMode="External"/><Relationship Id="rId20" Type="http://schemas.openxmlformats.org/officeDocument/2006/relationships/hyperlink" Target="https://www.mscbs.gob.es/profesionales/saludPublica/medicinaTransfusional/acuerdos/docs/Virus_Nilo_Occidental.pdf" TargetMode="External"/><Relationship Id="rId29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ecdc.europa.eu/en/west-nile-virus-infection" TargetMode="External"/><Relationship Id="rId23" Type="http://schemas.openxmlformats.org/officeDocument/2006/relationships/footer" Target="footer1.xml"/><Relationship Id="rId28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hyperlink" Target="https://www.edqm.eu/en/organs-tissues-and-cells-technical-guide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mscbs.gob.es/profesionales/saludPublica/ccayes/alertasActual/Eventos_de_salud_publica_en_seguimiento.htm" TargetMode="External"/><Relationship Id="rId22" Type="http://schemas.openxmlformats.org/officeDocument/2006/relationships/header" Target="header1.xml"/><Relationship Id="rId30" Type="http://schemas.microsoft.com/office/2016/09/relationships/commentsIds" Target="commentsId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vigilancia-ont@sanidad.gob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flores\Datos%20de%20programa\Microsoft\Plantillas\escudocenatme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CC112A9B85C34EB85438BFBEC699BF" ma:contentTypeVersion="0" ma:contentTypeDescription="Crear nuevo documento." ma:contentTypeScope="" ma:versionID="5bf51ae8339a931dd3fb41a259de8031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AC8B6-A54E-49B8-9516-6CC8997D1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790C2D5-66E2-4821-839D-9D148FF3BB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284B78-A882-4086-B69A-E19AEE168E84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DF0ECC5-B20D-46D0-B2DA-4BA82FDD7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escudocenatmer</Template>
  <TotalTime>27</TotalTime>
  <Pages>8</Pages>
  <Words>2006</Words>
  <Characters>12795</Characters>
  <Application>Microsoft Office Word</Application>
  <DocSecurity>0</DocSecurity>
  <Lines>106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Madrid, 27 de junio de 2000</vt:lpstr>
    </vt:vector>
  </TitlesOfParts>
  <Company>Org. Nacional de Trasplantes</Company>
  <LinksUpToDate>false</LinksUpToDate>
  <CharactersWithSpaces>14772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Madrid, 27 de junio de 2000</dc:title>
  <dc:creator>MD</dc:creator>
  <cp:lastModifiedBy>Mahillo Durán, Beatriz</cp:lastModifiedBy>
  <cp:revision>19</cp:revision>
  <cp:lastPrinted>2021-06-18T11:12:00Z</cp:lastPrinted>
  <dcterms:created xsi:type="dcterms:W3CDTF">2021-06-18T08:21:00Z</dcterms:created>
  <dcterms:modified xsi:type="dcterms:W3CDTF">2021-06-18T11:12:00Z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ailTo">
    <vt:lpwstr/>
  </property>
  <property fmtid="{D5CDD505-2E9C-101B-9397-08002B2CF9AE}" pid="3" name="EmailSender">
    <vt:lpwstr/>
  </property>
  <property fmtid="{D5CDD505-2E9C-101B-9397-08002B2CF9AE}" pid="4" name="EmailFrom">
    <vt:lpwstr/>
  </property>
  <property fmtid="{D5CDD505-2E9C-101B-9397-08002B2CF9AE}" pid="5" name="EmailSubject">
    <vt:lpwstr/>
  </property>
  <property fmtid="{D5CDD505-2E9C-101B-9397-08002B2CF9AE}" pid="6" name="EmailCc">
    <vt:lpwstr/>
  </property>
</Properties>
</file>